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40EFB" w14:textId="77777777" w:rsidR="00BC4F73" w:rsidRPr="00CB2D23" w:rsidRDefault="00BC4F73" w:rsidP="00BA2340">
      <w:pPr>
        <w:rPr>
          <w:lang w:eastAsia="hr-HR"/>
        </w:rPr>
      </w:pPr>
      <w:bookmarkStart w:id="0" w:name="_GoBack"/>
      <w:bookmarkEnd w:id="0"/>
    </w:p>
    <w:p w14:paraId="6D840EFC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  <w:r w:rsidRPr="00CB2D23">
        <w:rPr>
          <w:rFonts w:ascii="Arial Narrow" w:eastAsia="Times New Roman" w:hAnsi="Arial Narrow" w:cs="Arial"/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0" locked="0" layoutInCell="1" allowOverlap="1" wp14:anchorId="6D8415B2" wp14:editId="6D8415B3">
            <wp:simplePos x="0" y="0"/>
            <wp:positionH relativeFrom="column">
              <wp:posOffset>4343400</wp:posOffset>
            </wp:positionH>
            <wp:positionV relativeFrom="paragraph">
              <wp:posOffset>40005</wp:posOffset>
            </wp:positionV>
            <wp:extent cx="457200" cy="571500"/>
            <wp:effectExtent l="0" t="0" r="0" b="0"/>
            <wp:wrapSquare wrapText="right"/>
            <wp:docPr id="1" name="Picture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40EFD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EFE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EFF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0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  <w:r w:rsidRPr="00CB2D23">
        <w:rPr>
          <w:rFonts w:ascii="Arial Narrow" w:eastAsia="Times New Roman" w:hAnsi="Arial Narrow" w:cs="Arial"/>
          <w:b/>
          <w:sz w:val="36"/>
          <w:szCs w:val="36"/>
          <w:lang w:eastAsia="hr-HR"/>
        </w:rPr>
        <w:t>VLADA REPUBLIKE HRVATSKE</w:t>
      </w:r>
    </w:p>
    <w:p w14:paraId="6D840F01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2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3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4" w14:textId="77777777" w:rsidR="00BC4F73" w:rsidRPr="00CB2D23" w:rsidRDefault="00BC4F73" w:rsidP="00BC4F73">
      <w:pPr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5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6" w14:textId="77777777" w:rsidR="00BC4F73" w:rsidRPr="00CB2D23" w:rsidRDefault="004314E9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  <w:r>
        <w:rPr>
          <w:rFonts w:ascii="Arial Narrow" w:eastAsia="Times New Roman" w:hAnsi="Arial Narrow" w:cs="Arial"/>
          <w:b/>
          <w:sz w:val="36"/>
          <w:szCs w:val="36"/>
          <w:lang w:eastAsia="hr-HR"/>
        </w:rPr>
        <w:t>AKCIJSKI PLAN</w:t>
      </w:r>
      <w:r w:rsidR="00BC4F73" w:rsidRPr="00CB2D23">
        <w:rPr>
          <w:rFonts w:ascii="Arial Narrow" w:eastAsia="Times New Roman" w:hAnsi="Arial Narrow" w:cs="Arial"/>
          <w:b/>
          <w:sz w:val="36"/>
          <w:szCs w:val="36"/>
          <w:lang w:eastAsia="hr-HR"/>
        </w:rPr>
        <w:t xml:space="preserve"> ZA UNAPRJEĐENJE </w:t>
      </w:r>
    </w:p>
    <w:p w14:paraId="6D840F07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  <w:r w:rsidRPr="00CB2D23">
        <w:rPr>
          <w:rFonts w:ascii="Arial Narrow" w:eastAsia="Times New Roman" w:hAnsi="Arial Narrow" w:cs="Arial"/>
          <w:b/>
          <w:sz w:val="36"/>
          <w:szCs w:val="36"/>
          <w:lang w:eastAsia="hr-HR"/>
        </w:rPr>
        <w:t>FINANCIJS</w:t>
      </w:r>
      <w:r>
        <w:rPr>
          <w:rFonts w:ascii="Arial Narrow" w:eastAsia="Times New Roman" w:hAnsi="Arial Narrow" w:cs="Arial"/>
          <w:b/>
          <w:sz w:val="36"/>
          <w:szCs w:val="36"/>
          <w:lang w:eastAsia="hr-HR"/>
        </w:rPr>
        <w:t>KE PISMENOSTI POTROŠAČA ZA 2019.</w:t>
      </w:r>
      <w:r w:rsidRPr="00CB2D23">
        <w:rPr>
          <w:rFonts w:ascii="Arial Narrow" w:eastAsia="Times New Roman" w:hAnsi="Arial Narrow" w:cs="Arial"/>
          <w:b/>
          <w:sz w:val="36"/>
          <w:szCs w:val="36"/>
          <w:lang w:eastAsia="hr-HR"/>
        </w:rPr>
        <w:t xml:space="preserve"> GODINU</w:t>
      </w:r>
    </w:p>
    <w:p w14:paraId="6D840F08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9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A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B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</w:p>
    <w:p w14:paraId="6D840F0C" w14:textId="77777777" w:rsidR="00BC4F73" w:rsidRPr="00CB2D23" w:rsidRDefault="002E660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  <w:lang w:eastAsia="hr-HR"/>
        </w:rPr>
      </w:pPr>
      <w:r>
        <w:rPr>
          <w:rFonts w:ascii="Arial Narrow" w:eastAsia="Times New Roman" w:hAnsi="Arial Narrow" w:cs="Arial"/>
          <w:b/>
          <w:sz w:val="36"/>
          <w:szCs w:val="36"/>
          <w:lang w:eastAsia="hr-HR"/>
        </w:rPr>
        <w:t xml:space="preserve">Zagreb, </w:t>
      </w:r>
      <w:r w:rsidR="004314E9">
        <w:rPr>
          <w:rFonts w:ascii="Arial Narrow" w:eastAsia="Times New Roman" w:hAnsi="Arial Narrow" w:cs="Arial"/>
          <w:b/>
          <w:sz w:val="36"/>
          <w:szCs w:val="36"/>
          <w:lang w:eastAsia="hr-HR"/>
        </w:rPr>
        <w:t>ožujak</w:t>
      </w:r>
      <w:r w:rsidR="00A64FA7">
        <w:rPr>
          <w:rFonts w:ascii="Arial Narrow" w:eastAsia="Times New Roman" w:hAnsi="Arial Narrow" w:cs="Arial"/>
          <w:b/>
          <w:sz w:val="36"/>
          <w:szCs w:val="36"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sz w:val="36"/>
          <w:szCs w:val="36"/>
          <w:lang w:eastAsia="hr-HR"/>
        </w:rPr>
        <w:t>2019</w:t>
      </w:r>
      <w:r w:rsidR="00BC4F73" w:rsidRPr="00CB2D23">
        <w:rPr>
          <w:rFonts w:ascii="Arial Narrow" w:eastAsia="Times New Roman" w:hAnsi="Arial Narrow" w:cs="Arial"/>
          <w:b/>
          <w:sz w:val="36"/>
          <w:szCs w:val="36"/>
          <w:lang w:eastAsia="hr-HR"/>
        </w:rPr>
        <w:t>.</w:t>
      </w:r>
    </w:p>
    <w:p w14:paraId="6D840F0D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hr-HR"/>
        </w:rPr>
      </w:pPr>
    </w:p>
    <w:p w14:paraId="6D840F0E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hr-HR"/>
        </w:rPr>
      </w:pPr>
    </w:p>
    <w:p w14:paraId="6D840F0F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hr-HR"/>
        </w:rPr>
      </w:pPr>
    </w:p>
    <w:p w14:paraId="6D840F10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hr-HR"/>
        </w:rPr>
      </w:pPr>
    </w:p>
    <w:p w14:paraId="6D840F11" w14:textId="77777777" w:rsidR="00BC4F73" w:rsidRPr="00CB2D23" w:rsidRDefault="00BC4F73" w:rsidP="00BC4F73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hr-HR"/>
        </w:rPr>
      </w:pPr>
    </w:p>
    <w:p w14:paraId="6D840F12" w14:textId="77777777" w:rsidR="00BC4F73" w:rsidRPr="00CB2D23" w:rsidRDefault="00BC4F73" w:rsidP="00BC4F73">
      <w:pPr>
        <w:spacing w:after="0" w:line="336" w:lineRule="atLeast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0F13" w14:textId="77777777" w:rsidR="00BC4F73" w:rsidRPr="00CB2D23" w:rsidRDefault="00BC4F73" w:rsidP="00BC4F73">
      <w:pPr>
        <w:spacing w:after="0" w:line="336" w:lineRule="atLeast"/>
        <w:jc w:val="center"/>
        <w:rPr>
          <w:rFonts w:ascii="Arial Narrow" w:eastAsia="Times New Roman" w:hAnsi="Arial Narrow" w:cs="Times New Roman"/>
          <w:color w:val="666666"/>
          <w:lang w:eastAsia="hr-HR"/>
        </w:rPr>
      </w:pPr>
      <w:r w:rsidRPr="00CB2D23">
        <w:rPr>
          <w:rFonts w:ascii="Arial Narrow" w:eastAsia="Times New Roman" w:hAnsi="Arial Narrow" w:cs="Times New Roman"/>
          <w:color w:val="666666"/>
          <w:lang w:eastAsia="hr-HR"/>
        </w:rPr>
        <w:t>AKCIJSKI PLAN ZA UNAPRJEĐENJE FINANCIJ</w:t>
      </w:r>
      <w:r>
        <w:rPr>
          <w:rFonts w:ascii="Arial Narrow" w:eastAsia="Times New Roman" w:hAnsi="Arial Narrow" w:cs="Times New Roman"/>
          <w:color w:val="666666"/>
          <w:lang w:eastAsia="hr-HR"/>
        </w:rPr>
        <w:t>SKE PISMENOSTI POTROŠAČA ZA 2019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. GODINU</w:t>
      </w:r>
    </w:p>
    <w:p w14:paraId="6D840F14" w14:textId="77777777" w:rsidR="00BC4F73" w:rsidRPr="00CB2D23" w:rsidRDefault="00BC4F73" w:rsidP="00BC4F73">
      <w:pPr>
        <w:spacing w:after="0" w:line="336" w:lineRule="atLeast"/>
        <w:jc w:val="center"/>
        <w:rPr>
          <w:rFonts w:ascii="Arial Narrow" w:eastAsia="Times New Roman" w:hAnsi="Arial Narrow" w:cs="Times New Roman"/>
          <w:color w:val="666666"/>
          <w:lang w:eastAsia="hr-HR"/>
        </w:rPr>
      </w:pPr>
      <w:r w:rsidRPr="00CB2D23">
        <w:rPr>
          <w:rFonts w:ascii="Arial Narrow" w:eastAsia="Times New Roman" w:hAnsi="Arial Narrow" w:cs="Times New Roman"/>
          <w:color w:val="666666"/>
          <w:lang w:eastAsia="hr-HR"/>
        </w:rPr>
        <w:t>UVOD</w:t>
      </w:r>
    </w:p>
    <w:p w14:paraId="6D840F15" w14:textId="77777777" w:rsidR="00BC4F73" w:rsidRPr="00E776D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>
        <w:rPr>
          <w:rFonts w:ascii="Arial Narrow" w:eastAsia="Times New Roman" w:hAnsi="Arial Narrow" w:cs="Times New Roman"/>
          <w:color w:val="666666"/>
          <w:lang w:eastAsia="hr-HR"/>
        </w:rPr>
        <w:t xml:space="preserve">Vlada Republike Hrvatske je na sjednici </w:t>
      </w:r>
      <w:r w:rsidRPr="00730A7B">
        <w:rPr>
          <w:rFonts w:ascii="Arial Narrow" w:eastAsia="Times New Roman" w:hAnsi="Arial Narrow" w:cs="Times New Roman"/>
          <w:color w:val="666666"/>
          <w:lang w:eastAsia="hr-HR"/>
        </w:rPr>
        <w:t>održanoj 29. siječnja 2015. godine usvojila Zaključak kojim se prihvaća Nacionalni strateški okvir financijske pismenosti potrošača za razdoblje od 2015. do 2020. go</w:t>
      </w:r>
      <w:r>
        <w:rPr>
          <w:rFonts w:ascii="Arial Narrow" w:eastAsia="Times New Roman" w:hAnsi="Arial Narrow" w:cs="Times New Roman"/>
          <w:color w:val="666666"/>
          <w:lang w:eastAsia="hr-HR"/>
        </w:rPr>
        <w:t>dine (Narodne novine, broj</w:t>
      </w:r>
      <w:r w:rsidR="002E6603">
        <w:rPr>
          <w:rFonts w:ascii="Arial Narrow" w:eastAsia="Times New Roman" w:hAnsi="Arial Narrow" w:cs="Times New Roman"/>
          <w:color w:val="666666"/>
          <w:lang w:eastAsia="hr-HR"/>
        </w:rPr>
        <w:t xml:space="preserve"> 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11/15, </w:t>
      </w:r>
      <w:r w:rsidRPr="00730A7B">
        <w:rPr>
          <w:rFonts w:ascii="Arial Narrow" w:eastAsia="Times New Roman" w:hAnsi="Arial Narrow" w:cs="Times New Roman"/>
          <w:color w:val="666666"/>
          <w:lang w:eastAsia="hr-HR"/>
        </w:rPr>
        <w:t>u daljnjem tekstu: Nacionalni strateški okvir fi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nancijske pismenosti potrošača). </w:t>
      </w:r>
      <w:r w:rsidRPr="00E776D3">
        <w:rPr>
          <w:rFonts w:ascii="Arial Narrow" w:eastAsia="Times New Roman" w:hAnsi="Arial Narrow" w:cs="Times New Roman"/>
          <w:color w:val="666666"/>
          <w:lang w:eastAsia="hr-HR"/>
        </w:rPr>
        <w:t>Ciljevi  Nacionalnog strateškog okvira financijske pismenosti potrošača su razvoj kvalitete, povećanje kanala distribucije, ali i provođenje već poznatih i učinkovitih aktivnosti te zajedničko djelovanj</w:t>
      </w:r>
      <w:r w:rsidR="002E6603">
        <w:rPr>
          <w:rFonts w:ascii="Arial Narrow" w:eastAsia="Times New Roman" w:hAnsi="Arial Narrow" w:cs="Times New Roman"/>
          <w:color w:val="666666"/>
          <w:lang w:eastAsia="hr-HR"/>
        </w:rPr>
        <w:t>e svih dionika u svrhu financijskog opismenjavanja</w:t>
      </w:r>
      <w:r w:rsidRPr="00E776D3">
        <w:rPr>
          <w:rFonts w:ascii="Arial Narrow" w:eastAsia="Times New Roman" w:hAnsi="Arial Narrow" w:cs="Times New Roman"/>
          <w:color w:val="666666"/>
          <w:lang w:eastAsia="hr-HR"/>
        </w:rPr>
        <w:t xml:space="preserve"> stanovništ</w:t>
      </w:r>
      <w:r>
        <w:rPr>
          <w:rFonts w:ascii="Arial Narrow" w:eastAsia="Times New Roman" w:hAnsi="Arial Narrow" w:cs="Times New Roman"/>
          <w:color w:val="666666"/>
          <w:lang w:eastAsia="hr-HR"/>
        </w:rPr>
        <w:t>va</w:t>
      </w:r>
      <w:r w:rsidRPr="00E776D3">
        <w:rPr>
          <w:rFonts w:ascii="Arial Narrow" w:eastAsia="Times New Roman" w:hAnsi="Arial Narrow" w:cs="Times New Roman"/>
          <w:color w:val="666666"/>
          <w:lang w:eastAsia="hr-HR"/>
        </w:rPr>
        <w:t xml:space="preserve">. </w:t>
      </w:r>
    </w:p>
    <w:p w14:paraId="6D840F16" w14:textId="77777777" w:rsidR="00BC4F73" w:rsidRPr="00CB2D2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 w:rsidRPr="00E776D3">
        <w:rPr>
          <w:rFonts w:ascii="Arial Narrow" w:eastAsia="Times New Roman" w:hAnsi="Arial Narrow" w:cs="Times New Roman"/>
          <w:color w:val="666666"/>
          <w:lang w:eastAsia="hr-HR"/>
        </w:rPr>
        <w:t xml:space="preserve">Da bi se navedeni ciljevi ostvarili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Ministarstvo financija, u suradnji s dionicima iz Nacionalnog strateškog okvira financijske pismenosti potrošača, svake godine izrađuje Akcijski plan za unaprjeđenje f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inancijske pismenosti potrošača (u daljnjem tekstu: Akcijski plan) </w:t>
      </w:r>
      <w:r w:rsidRPr="00E776D3">
        <w:rPr>
          <w:rFonts w:ascii="Arial Narrow" w:eastAsia="Times New Roman" w:hAnsi="Arial Narrow" w:cs="Times New Roman"/>
          <w:color w:val="666666"/>
          <w:lang w:eastAsia="hr-HR"/>
        </w:rPr>
        <w:t>kojim se propisuju mjere i aktivnosti usmjerene prema podizanju financijske pismenosti.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  U tu svrhu donosi se i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Akcijski plan za unaprjeđenje financij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ske pismenosti potrošača za 2019.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godinu (u daljnje</w:t>
      </w:r>
      <w:r>
        <w:rPr>
          <w:rFonts w:ascii="Arial Narrow" w:eastAsia="Times New Roman" w:hAnsi="Arial Narrow" w:cs="Times New Roman"/>
          <w:color w:val="666666"/>
          <w:lang w:eastAsia="hr-HR"/>
        </w:rPr>
        <w:t>m tekstu: Akcijski plan za 2019. godinu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) 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koji se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izra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đuje 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s ciljem provođenja aktivnosti i mjera usmjerenih financijskom obrazovanju po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trošača. Predmetnim planom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definirane su mjere i aktivnosti svih dionika, rok za provedbu mjera, pokazatelji uspješnosti te izvori financiranja. Nacionalni strateški okvir financijske pismenosti potrošača kao i Akcijski plan za unaprjeđenje financijske pismenosti potrošača za svaku narednu godinu usmjereni su na poticanje svih dionika financijskog obrazovanja na zajedničko djelovanje prema razumijevanju zajedničkog cilja i p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redanosti za njegovo postizanje a </w:t>
      </w:r>
      <w:r w:rsidRPr="00E776D3">
        <w:rPr>
          <w:rFonts w:ascii="Arial Narrow" w:eastAsia="Times New Roman" w:hAnsi="Arial Narrow" w:cs="Times New Roman"/>
          <w:color w:val="666666"/>
          <w:lang w:eastAsia="hr-HR"/>
        </w:rPr>
        <w:t>kako bi se svim građanima Republike Hrvatske osigurala prilika ostvarivanja određene koristi od financijskog obrazovanja.</w:t>
      </w:r>
    </w:p>
    <w:p w14:paraId="6D840F17" w14:textId="77777777" w:rsidR="00BC4F73" w:rsidRPr="00CB2D2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 w:rsidRPr="00CB2D23">
        <w:rPr>
          <w:rFonts w:ascii="Arial Narrow" w:eastAsia="Times New Roman" w:hAnsi="Arial Narrow" w:cs="Times New Roman"/>
          <w:color w:val="666666"/>
          <w:lang w:eastAsia="hr-HR"/>
        </w:rPr>
        <w:t>Sredstva za provedbu akti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vnosti Akcijskog plana za 2019.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godinu osigurana su u Državnom proračunu Republike Hrvatske</w:t>
      </w:r>
      <w:r w:rsidR="00E71DB7">
        <w:rPr>
          <w:rFonts w:ascii="Arial Narrow" w:eastAsia="Times New Roman" w:hAnsi="Arial Narrow" w:cs="Times New Roman"/>
          <w:color w:val="666666"/>
          <w:lang w:eastAsia="hr-HR"/>
        </w:rPr>
        <w:t xml:space="preserve"> za 2019. godinu i projekcijama za 2020. i 2021. godinu (Narodne novine, broj 113/18) unutar financijskog plana Ministarstva financija, na aktivnosti A538000 Administracija i upravljanje u iznosu od 50.000,</w:t>
      </w:r>
      <w:r w:rsidR="00413D5B">
        <w:rPr>
          <w:rFonts w:ascii="Arial Narrow" w:eastAsia="Times New Roman" w:hAnsi="Arial Narrow" w:cs="Times New Roman"/>
          <w:color w:val="666666"/>
          <w:lang w:eastAsia="hr-HR"/>
        </w:rPr>
        <w:t>00</w:t>
      </w:r>
      <w:r w:rsidR="00E71DB7">
        <w:rPr>
          <w:rFonts w:ascii="Arial Narrow" w:eastAsia="Times New Roman" w:hAnsi="Arial Narrow" w:cs="Times New Roman"/>
          <w:color w:val="666666"/>
          <w:lang w:eastAsia="hr-HR"/>
        </w:rPr>
        <w:t xml:space="preserve"> kuna godišnje te unutar financijskog plana Ministarstva gospodarstva, poduze</w:t>
      </w:r>
      <w:r w:rsidR="00BF625D">
        <w:rPr>
          <w:rFonts w:ascii="Arial Narrow" w:eastAsia="Times New Roman" w:hAnsi="Arial Narrow" w:cs="Times New Roman"/>
          <w:color w:val="666666"/>
          <w:lang w:eastAsia="hr-HR"/>
        </w:rPr>
        <w:t>tništva i obrta, na aktivnosti</w:t>
      </w:r>
      <w:r w:rsidR="009A5226">
        <w:rPr>
          <w:rFonts w:ascii="Arial Narrow" w:eastAsia="Times New Roman" w:hAnsi="Arial Narrow" w:cs="Times New Roman"/>
          <w:color w:val="666666"/>
          <w:lang w:eastAsia="hr-HR"/>
        </w:rPr>
        <w:t xml:space="preserve"> A560054 – Zaštita prava potrošača u iznosu od 1.835.162,00 kuna</w:t>
      </w:r>
      <w:r w:rsidR="00413D5B">
        <w:rPr>
          <w:rFonts w:ascii="Arial Narrow" w:eastAsia="Times New Roman" w:hAnsi="Arial Narrow" w:cs="Times New Roman"/>
          <w:color w:val="666666"/>
          <w:lang w:eastAsia="hr-HR"/>
        </w:rPr>
        <w:t>, a koja između ostalog uključuju i provedbu aktivnosti iz ovog Akcijskog plana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. Ministarstvo</w:t>
      </w:r>
      <w:r w:rsidR="00D16C4D">
        <w:rPr>
          <w:rFonts w:ascii="Arial Narrow" w:eastAsia="Times New Roman" w:hAnsi="Arial Narrow" w:cs="Times New Roman"/>
          <w:color w:val="666666"/>
          <w:lang w:eastAsia="hr-HR"/>
        </w:rPr>
        <w:t xml:space="preserve"> znanosti i obrazovanja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 i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Agencija za odgoj i obrazovanje </w:t>
      </w:r>
      <w:r w:rsidR="009A5226">
        <w:rPr>
          <w:rFonts w:ascii="Arial Narrow" w:eastAsia="Times New Roman" w:hAnsi="Arial Narrow" w:cs="Times New Roman"/>
          <w:color w:val="666666"/>
          <w:lang w:eastAsia="hr-HR"/>
        </w:rPr>
        <w:t>te Ministarstvo zdravstva koji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sudjeluju u provedbi akti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vnosti Akcijskog plana za  2019. godinu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ima</w:t>
      </w:r>
      <w:r>
        <w:rPr>
          <w:rFonts w:ascii="Arial Narrow" w:eastAsia="Times New Roman" w:hAnsi="Arial Narrow" w:cs="Times New Roman"/>
          <w:color w:val="666666"/>
          <w:lang w:eastAsia="hr-HR"/>
        </w:rPr>
        <w:t>ju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osigurana sredstva u okviru svojih redovnih aktivnosti. Ostala tijela osiguravaju vlastita sredstva za provedbu mjera i aktivnosti u svrhu financijskog opismenjavanja potrošača.</w:t>
      </w:r>
    </w:p>
    <w:p w14:paraId="6D840F18" w14:textId="77777777" w:rsidR="00BC4F73" w:rsidRPr="00CB2D2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 w:rsidRPr="00CB2D23">
        <w:rPr>
          <w:rFonts w:ascii="Arial Narrow" w:eastAsia="Times New Roman" w:hAnsi="Arial Narrow" w:cs="Times New Roman"/>
          <w:color w:val="666666"/>
          <w:lang w:eastAsia="hr-HR"/>
        </w:rPr>
        <w:t>Svi dionici pr</w:t>
      </w:r>
      <w:r>
        <w:rPr>
          <w:rFonts w:ascii="Arial Narrow" w:eastAsia="Times New Roman" w:hAnsi="Arial Narrow" w:cs="Times New Roman"/>
          <w:color w:val="666666"/>
          <w:lang w:eastAsia="hr-HR"/>
        </w:rPr>
        <w:t>ovedbe Akcijskog plana za 2019. godinu izvijestit će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Ministarstvo financija o provedenim aktivnostima za proteklo izvještajno razdoblje kao i o projekcijama aktivnosti za naredno izvještajno razdoblje.</w:t>
      </w:r>
    </w:p>
    <w:p w14:paraId="6D840F19" w14:textId="77777777" w:rsidR="00BC4F7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Učinkovita provedba Nacionalnog strateškog okvira financijske pismenosti potrošača podrazumijeva različite mjere i aktivnosti usmjerene k unaprjeđenju financijske pismenosti potrošača te je stoga Ministarstvo financija početkom 2015. godine osnovalo Operativnu radnu grupu za praćenje provedbe mjera i aktivnosti (u daljnjem tekstu: Operativna </w:t>
      </w:r>
      <w:r>
        <w:rPr>
          <w:rFonts w:ascii="Arial Narrow" w:eastAsia="Times New Roman" w:hAnsi="Arial Narrow" w:cs="Times New Roman"/>
          <w:color w:val="666666"/>
          <w:lang w:eastAsia="hr-HR"/>
        </w:rPr>
        <w:t>radna grupa). Na sastancima koji se održavaju nekoliko puta godišnje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raspravlja</w:t>
      </w:r>
      <w:r>
        <w:rPr>
          <w:rFonts w:ascii="Arial Narrow" w:eastAsia="Times New Roman" w:hAnsi="Arial Narrow" w:cs="Times New Roman"/>
          <w:color w:val="666666"/>
          <w:lang w:eastAsia="hr-HR"/>
        </w:rPr>
        <w:t xml:space="preserve"> se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o provedbenim aktivnostima te ostalim pitanjima relevantnim za financijsku pismenost. </w:t>
      </w:r>
    </w:p>
    <w:p w14:paraId="6D840F1A" w14:textId="77777777" w:rsidR="00BC4F73" w:rsidRPr="00CB2D2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 w:rsidRPr="00CB2D23">
        <w:rPr>
          <w:rFonts w:ascii="Arial Narrow" w:eastAsia="Times New Roman" w:hAnsi="Arial Narrow" w:cs="Times New Roman"/>
          <w:color w:val="666666"/>
          <w:lang w:eastAsia="hr-HR"/>
        </w:rPr>
        <w:t>Zavisno od aktivnosti, u rad Operativne radne grupe mogu se uključiti i predstavnici drugih institucija relevantnih za unaprjeđenje financijske pismenosti potrošača. Svi dionici u provedbi Akcijskog plana obvezuju se na kvalitetnu međusobnu suradnju, radi stvaranja uvjeta u okviru svoje nadležnosti i djelokruga rada te u skladu sa svojim djelatnostima, za osnaživanje okruženja i administrativne učinkovitosti u poticanju unaprjeđenja financijske pismenosti potrošača.</w:t>
      </w:r>
    </w:p>
    <w:p w14:paraId="6D840F1B" w14:textId="77777777" w:rsidR="00BC4F73" w:rsidRPr="00CB2D2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>
        <w:rPr>
          <w:rFonts w:ascii="Arial Narrow" w:eastAsia="Times New Roman" w:hAnsi="Arial Narrow" w:cs="Times New Roman"/>
          <w:color w:val="666666"/>
          <w:lang w:eastAsia="hr-HR"/>
        </w:rPr>
        <w:t>Akcijski plan za 2019. godinu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izrađen je kao »živi dokument« podložan prilagodbama i eventualnim budućim promjenama. Također, p</w:t>
      </w:r>
      <w:r>
        <w:rPr>
          <w:rFonts w:ascii="Arial Narrow" w:eastAsia="Times New Roman" w:hAnsi="Arial Narrow" w:cs="Times New Roman"/>
          <w:color w:val="666666"/>
          <w:lang w:eastAsia="hr-HR"/>
        </w:rPr>
        <w:t>raćenje Akcijskog plana za 2019. godinu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 xml:space="preserve"> omogućit će Ministarstvu financija i nositeljima provedbe, identifikaciju onoga što je uspješno u provođenju financijske pismenosti, identifikaciju ciljnih skupina koje imaju koristi od financijske pismenosti, stjecanje saznanja o tome koji su dodatni izvori potrebni te identifikaciju potencijalnih propusta i aktivnosti za njihovo otklanjanje.</w:t>
      </w:r>
    </w:p>
    <w:p w14:paraId="6D840F1C" w14:textId="77777777" w:rsidR="00BC4F73" w:rsidRPr="00CB2D2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0F1D" w14:textId="77777777" w:rsidR="00BC4F73" w:rsidRPr="00CB2D23" w:rsidRDefault="00BC4F73" w:rsidP="00BC4F73">
      <w:pPr>
        <w:spacing w:after="0" w:line="336" w:lineRule="atLeast"/>
        <w:jc w:val="center"/>
        <w:rPr>
          <w:rFonts w:ascii="Arial Narrow" w:eastAsia="Times New Roman" w:hAnsi="Arial Narrow" w:cs="Times New Roman"/>
          <w:color w:val="666666"/>
          <w:lang w:eastAsia="hr-HR"/>
        </w:rPr>
      </w:pPr>
      <w:r w:rsidRPr="00CB2D23">
        <w:rPr>
          <w:rFonts w:ascii="Arial Narrow" w:eastAsia="Times New Roman" w:hAnsi="Arial Narrow" w:cs="Times New Roman"/>
          <w:color w:val="666666"/>
          <w:lang w:eastAsia="hr-HR"/>
        </w:rPr>
        <w:t>SADRŽAJ AKCIJSKOG PLANA</w:t>
      </w:r>
    </w:p>
    <w:p w14:paraId="6D840F1E" w14:textId="77777777" w:rsidR="00BC4F73" w:rsidRPr="00CB2D23" w:rsidRDefault="00BC4F73" w:rsidP="00BC4F73">
      <w:pPr>
        <w:spacing w:after="0" w:line="336" w:lineRule="atLeast"/>
        <w:jc w:val="both"/>
        <w:rPr>
          <w:rFonts w:ascii="Arial Narrow" w:eastAsia="Times New Roman" w:hAnsi="Arial Narrow" w:cs="Times New Roman"/>
          <w:color w:val="666666"/>
          <w:lang w:eastAsia="hr-HR"/>
        </w:rPr>
      </w:pPr>
      <w:r>
        <w:rPr>
          <w:rFonts w:ascii="Arial Narrow" w:eastAsia="Times New Roman" w:hAnsi="Arial Narrow" w:cs="Times New Roman"/>
          <w:color w:val="666666"/>
          <w:lang w:eastAsia="hr-HR"/>
        </w:rPr>
        <w:t xml:space="preserve">Akcijski plan za 2019. godinu </w:t>
      </w:r>
      <w:r w:rsidRPr="00CB2D23">
        <w:rPr>
          <w:rFonts w:ascii="Arial Narrow" w:eastAsia="Times New Roman" w:hAnsi="Arial Narrow" w:cs="Times New Roman"/>
          <w:color w:val="666666"/>
          <w:lang w:eastAsia="hr-HR"/>
        </w:rPr>
        <w:t>sadrži prikaz identificiranih mjera i aktivnosti u podizanju razine financijske pismenosti građana Republike Hrvatske. Mjere su definirane prema nositeljima, odnosno dionicima u provođenju financijskog obrazovanja definiranim Nacionalnim strateškim okvirom financijske pismenosti potrošača. Uz mjere, navedene su i aktivnosti svih dionika, rok unutar kojeg će se one provoditi, izvori financiranja te pokazatelji uspješnosti.</w:t>
      </w:r>
    </w:p>
    <w:p w14:paraId="6D840F1F" w14:textId="77777777" w:rsidR="00BC4F73" w:rsidRPr="00CB2D23" w:rsidRDefault="00BC4F73" w:rsidP="00BC4F73">
      <w:pPr>
        <w:spacing w:after="0" w:line="336" w:lineRule="atLeast"/>
        <w:jc w:val="center"/>
        <w:rPr>
          <w:rFonts w:ascii="Arial Narrow" w:eastAsia="Times New Roman" w:hAnsi="Arial Narrow" w:cs="Times New Roman"/>
          <w:color w:val="666666"/>
          <w:lang w:eastAsia="hr-HR"/>
        </w:rPr>
      </w:pPr>
    </w:p>
    <w:tbl>
      <w:tblPr>
        <w:tblW w:w="4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026"/>
        <w:gridCol w:w="2309"/>
        <w:gridCol w:w="2950"/>
        <w:gridCol w:w="1199"/>
        <w:gridCol w:w="1524"/>
        <w:gridCol w:w="2082"/>
      </w:tblGrid>
      <w:tr w:rsidR="0099019C" w:rsidRPr="008D5D1B" w14:paraId="6D840F27" w14:textId="77777777" w:rsidTr="0099019C">
        <w:trPr>
          <w:tblHeader/>
          <w:jc w:val="center"/>
        </w:trPr>
        <w:tc>
          <w:tcPr>
            <w:tcW w:w="209" w:type="pct"/>
            <w:shd w:val="clear" w:color="auto" w:fill="D9D9D9" w:themeFill="background1" w:themeFillShade="D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0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803" w:type="pct"/>
            <w:shd w:val="clear" w:color="auto" w:fill="D9D9D9" w:themeFill="background1" w:themeFillShade="D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1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MJERA</w:t>
            </w:r>
          </w:p>
        </w:tc>
        <w:tc>
          <w:tcPr>
            <w:tcW w:w="915" w:type="pct"/>
            <w:shd w:val="clear" w:color="auto" w:fill="D9D9D9" w:themeFill="background1" w:themeFillShade="D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2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169" w:type="pct"/>
            <w:shd w:val="clear" w:color="auto" w:fill="D9D9D9" w:themeFill="background1" w:themeFillShade="D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3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NOSITELJ/SUNOSITELJ</w:t>
            </w:r>
          </w:p>
        </w:tc>
        <w:tc>
          <w:tcPr>
            <w:tcW w:w="475" w:type="pct"/>
            <w:shd w:val="clear" w:color="auto" w:fill="D9D9D9" w:themeFill="background1" w:themeFillShade="D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4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ROK PROVEDBE</w:t>
            </w: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br/>
              <w:t>(kvartal/</w:t>
            </w: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br/>
              <w:t>kontinuirano)</w:t>
            </w:r>
          </w:p>
        </w:tc>
        <w:tc>
          <w:tcPr>
            <w:tcW w:w="604" w:type="pct"/>
            <w:shd w:val="clear" w:color="auto" w:fill="D9D9D9" w:themeFill="background1" w:themeFillShade="D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IZVORI FINANCIRANJA</w:t>
            </w:r>
          </w:p>
        </w:tc>
        <w:tc>
          <w:tcPr>
            <w:tcW w:w="825" w:type="pct"/>
            <w:shd w:val="clear" w:color="auto" w:fill="D9D9D9" w:themeFill="background1" w:themeFillShade="D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POKAZATELJI USPJEŠNOSTI</w:t>
            </w:r>
          </w:p>
        </w:tc>
      </w:tr>
      <w:tr w:rsidR="0099019C" w:rsidRPr="008D5D1B" w14:paraId="6D840F36" w14:textId="77777777" w:rsidTr="0099019C">
        <w:trPr>
          <w:jc w:val="center"/>
        </w:trPr>
        <w:tc>
          <w:tcPr>
            <w:tcW w:w="20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8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03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Komunikacija s potrošačima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A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Redovita komunikacija s potrošačima radi savjetovanja po upitima.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2B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</w:p>
          <w:p w14:paraId="6D840F2C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  <w:p w14:paraId="6D840F2D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  <w:p w14:paraId="6D840F2E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  <w:p w14:paraId="6D840F2F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  <w:p w14:paraId="6D840F30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0F31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32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33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– državni proračun</w:t>
            </w:r>
          </w:p>
          <w:p w14:paraId="6D840F34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HANFA, HNB, HUO, HGK, UMFO – vlastita sredstva</w:t>
            </w: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3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Kontinuirana komunikacija s potrošačima u svezi sa zaštitom njihovih ekonomskih interesa.</w:t>
            </w:r>
          </w:p>
        </w:tc>
      </w:tr>
      <w:tr w:rsidR="00B05A72" w:rsidRPr="008D5D1B" w14:paraId="6D841028" w14:textId="77777777" w:rsidTr="0099019C">
        <w:trPr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37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38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3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2.</w:t>
            </w:r>
          </w:p>
          <w:p w14:paraId="6D840F3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3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3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3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3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3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4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5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6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7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87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8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Sudjelovanje i organizacija seminara, radionica, panela, konferencija, okruglih stolova te stručnih skupova.</w:t>
            </w:r>
          </w:p>
          <w:p w14:paraId="6D840F8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8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9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A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B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C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D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 i s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udjelovanje na tribinama, okruglim stolovima, radionicama, edu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softHyphen/>
              <w:t xml:space="preserve">kativnim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skupovima i seminarima.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D1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</w:p>
          <w:p w14:paraId="6D840FD2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  <w:p w14:paraId="6D840FD3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MIZ</w:t>
            </w:r>
          </w:p>
          <w:p w14:paraId="6D840FD4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MZO</w:t>
            </w:r>
          </w:p>
          <w:p w14:paraId="6D840FD5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  <w:p w14:paraId="6D840FD6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  <w:p w14:paraId="6D840FD7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  <w:p w14:paraId="6D840FD8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  <w:p w14:paraId="6D840FD9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  <w:p w14:paraId="6D840FDA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ZSE</w:t>
            </w:r>
          </w:p>
          <w:p w14:paraId="6D840FDB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0FDC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  <w:p w14:paraId="6D840FDD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DE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0FD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1" w14:textId="77777777" w:rsidR="00B05A72" w:rsidRPr="008D5D1B" w:rsidRDefault="00D16C4D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  <w:r w:rsidR="00C24CD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, </w:t>
            </w:r>
            <w:r w:rsidR="00F31D43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MINGPO, </w:t>
            </w:r>
            <w:r w:rsidR="00C24CD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MIZ,</w:t>
            </w:r>
            <w:r w:rsidR="00B05A72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MZO, AZOO – državni proračun</w:t>
            </w:r>
          </w:p>
          <w:p w14:paraId="6D840FE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HANFA, HNB, HUO, HUB, HUP, HGK, ZSE, UMFO,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SSSH, </w:t>
            </w:r>
            <w:r w:rsidR="004F4D82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EFZG,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ŠTEDOPIS </w:t>
            </w:r>
            <w:r w:rsidR="00C24CD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HIFE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– vlastita sredstva</w:t>
            </w:r>
          </w:p>
          <w:p w14:paraId="6D840FE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E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0FF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0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1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2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2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2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2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2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2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2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2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seminara, radionica, tribina, panel rasprava, okruglih stolova, konferencija te stručnih skupova. Broj sudionika na seminarima, panelima, radionicama, konferencijama, okruglim stolovima te stručnim skupovima. Zaključak dobiven analizom evaluacijskih listića o održanim seminarima, tribinama, panelima, radionicama, konferencijama, okruglim stolovima te stručnim skupovima.</w:t>
            </w:r>
          </w:p>
        </w:tc>
      </w:tr>
      <w:tr w:rsidR="00B05A72" w:rsidRPr="008D5D1B" w14:paraId="6D841043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2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2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2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U organizaciji AZOO-a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članovi Operativne radne grupe (ovisno o temi) sudjeluju u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stručnih seminara za učitelje i nastavnike na temu financijske pismenosti, u okviru kurikuluma Građanskog odgoja i obrazovanja, u suradnji s drugim financijskim ustanovama i organizacijama.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2C" w14:textId="77777777" w:rsidR="00747E86" w:rsidRPr="008D5D1B" w:rsidRDefault="00E12859" w:rsidP="00E12859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                          </w:t>
            </w:r>
            <w:r w:rsidR="00747E86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</w:p>
          <w:p w14:paraId="6D84102D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  <w:p w14:paraId="6D84102E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MIZ</w:t>
            </w:r>
          </w:p>
          <w:p w14:paraId="6D84102F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MZO</w:t>
            </w:r>
          </w:p>
          <w:p w14:paraId="6D841030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</w:t>
            </w:r>
          </w:p>
          <w:p w14:paraId="6D841031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  <w:p w14:paraId="6D841032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  <w:p w14:paraId="6D841033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  <w:p w14:paraId="6D841034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1035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  <w:p w14:paraId="6D841036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ZSE</w:t>
            </w:r>
          </w:p>
          <w:p w14:paraId="6D841037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  <w:p w14:paraId="6D841038" w14:textId="77777777" w:rsidR="00747E86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  <w:p w14:paraId="6D841039" w14:textId="77777777" w:rsidR="00747E86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  <w:p w14:paraId="6D84103A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SSSH</w:t>
            </w:r>
          </w:p>
          <w:p w14:paraId="6D84103B" w14:textId="77777777" w:rsidR="00747E86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  <w:p w14:paraId="6D84103C" w14:textId="77777777" w:rsidR="00747E86" w:rsidRPr="008D5D1B" w:rsidRDefault="00747E86" w:rsidP="00747E86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vAlign w:val="center"/>
            <w:hideMark/>
          </w:tcPr>
          <w:p w14:paraId="6D84103D" w14:textId="77777777" w:rsidR="00B05A72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3E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3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Održana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predavanja na stručnim skupovima za profesore u okviru kurikuluma Građanskog odgoja i obrazovanja.</w:t>
            </w:r>
          </w:p>
          <w:p w14:paraId="6D84104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>Pripremljen</w:t>
            </w:r>
            <w:r w:rsidRPr="008D5D1B"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 xml:space="preserve"> kurikulum međupredmetne teme Poduzetništvo, u okviru kojeg je pripremljena domena Ekonomska i financijska pismenost.</w:t>
            </w:r>
          </w:p>
          <w:p w14:paraId="6D84104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>Broj održanih radionica za nastavnike, broj predavanja i broj nastavnik</w:t>
            </w:r>
            <w:r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>a</w:t>
            </w:r>
            <w:r w:rsidRPr="008D5D1B"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 xml:space="preserve"> koji su sudjelovali.</w:t>
            </w:r>
          </w:p>
        </w:tc>
      </w:tr>
      <w:tr w:rsidR="00B05A72" w:rsidRPr="008D5D1B" w14:paraId="6D84104D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6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različitih stručnih seminara, radionica, savjetovanja i slično u kontekstu hrvatskog tržišta osiguranja (CEDOH – Centar za edukaciju koji djeluje u okviru HUO-a, provodi edukativne aktivnosti otvorenog tipa).</w:t>
            </w:r>
          </w:p>
          <w:p w14:paraId="6D841047" w14:textId="77777777" w:rsidR="00D652EE" w:rsidRPr="008D5D1B" w:rsidRDefault="00D652E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8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9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A" w14:textId="77777777" w:rsidR="00B05A72" w:rsidRPr="008D5D1B" w:rsidRDefault="00B05A72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4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4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održanih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stručnih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seminara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radionica, savjetovanja i drugih događanja.</w:t>
            </w:r>
          </w:p>
        </w:tc>
      </w:tr>
      <w:tr w:rsidR="00E12859" w:rsidRPr="008D5D1B" w14:paraId="6D841056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4E" w14:textId="77777777" w:rsidR="00E12859" w:rsidRPr="008D5D1B" w:rsidRDefault="00E12859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4F" w14:textId="77777777" w:rsidR="00E12859" w:rsidRPr="008D5D1B" w:rsidRDefault="00E12859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50" w14:textId="77777777" w:rsidR="00E12859" w:rsidRDefault="00E12859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Održavanje javnih događanja što će uz informiranje građana o njihovim potrošačkim pravima, uključivati i edukaciju gospodarstvenika o propisima iz područja zaštite prava potrošača. </w:t>
            </w:r>
          </w:p>
          <w:p w14:paraId="6D841051" w14:textId="77777777" w:rsidR="00D652EE" w:rsidRDefault="00D652E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52" w14:textId="77777777" w:rsidR="00E12859" w:rsidRPr="008D5D1B" w:rsidRDefault="00A46D66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53" w14:textId="77777777" w:rsidR="00E12859" w:rsidRPr="008D5D1B" w:rsidRDefault="00A46D66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54" w14:textId="77777777" w:rsidR="00E12859" w:rsidRPr="008D5D1B" w:rsidRDefault="00E12859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55" w14:textId="77777777" w:rsidR="00E12859" w:rsidRPr="008D5D1B" w:rsidRDefault="00D652E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javnih događanja, edukacija, broj sudionika.</w:t>
            </w:r>
          </w:p>
        </w:tc>
      </w:tr>
      <w:tr w:rsidR="00B05A72" w:rsidRPr="008D5D1B" w14:paraId="6D84105E" w14:textId="77777777" w:rsidTr="0099019C">
        <w:trPr>
          <w:trHeight w:val="1553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5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5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5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događanja i okruglih stolova za educiranje članova (između ostalog i u cilju zaštite potrošača), organizacija radnih ručkova i stručnih skupova s predstavnicima vlasti, gospodarstva i međunarodnih organizacija.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5A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5B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05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  <w:hideMark/>
          </w:tcPr>
          <w:p w14:paraId="6D84105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održanih okruglih stolova, radnih ručkova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stručnih skupova i drugih događanja te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broj sudionika.</w:t>
            </w:r>
          </w:p>
        </w:tc>
      </w:tr>
      <w:tr w:rsidR="00B05A72" w:rsidRPr="008D5D1B" w14:paraId="6D841069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5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Stručni skupovi i okrugli stolovi na aktualne teme.</w:t>
            </w:r>
          </w:p>
        </w:tc>
        <w:tc>
          <w:tcPr>
            <w:tcW w:w="1169" w:type="pct"/>
            <w:vAlign w:val="center"/>
            <w:hideMark/>
          </w:tcPr>
          <w:p w14:paraId="6D841062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3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06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>B</w:t>
            </w:r>
            <w:r w:rsidRPr="008D5D1B"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>roj održanih konferencija,</w:t>
            </w:r>
            <w:r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 xml:space="preserve"> skupova, okruglih stolova i drugih edukativnih događaja,</w:t>
            </w:r>
            <w:r w:rsidRPr="008D5D1B"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  <w:t xml:space="preserve"> broj sudionika.</w:t>
            </w:r>
          </w:p>
          <w:p w14:paraId="6D84106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</w:pPr>
          </w:p>
          <w:p w14:paraId="6D84106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666666"/>
                <w:sz w:val="20"/>
                <w:szCs w:val="20"/>
                <w:lang w:eastAsia="hr-HR"/>
              </w:rPr>
            </w:pPr>
          </w:p>
          <w:p w14:paraId="6D84106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05A72" w:rsidRPr="008D5D1B" w14:paraId="6D841072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konferencije namijenjene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stručnoj i poslovnoj javnosti.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D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  <w:p w14:paraId="6D84106E" w14:textId="77777777" w:rsidR="00B05A72" w:rsidRPr="008D5D1B" w:rsidRDefault="00B05A72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ZSE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6F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IV. kvartal</w:t>
            </w:r>
          </w:p>
        </w:tc>
        <w:tc>
          <w:tcPr>
            <w:tcW w:w="604" w:type="pct"/>
            <w:vMerge/>
            <w:vAlign w:val="center"/>
            <w:hideMark/>
          </w:tcPr>
          <w:p w14:paraId="6D841070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07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05A72" w:rsidRPr="008D5D1B" w14:paraId="6D84107A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4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i sudjelovanje na raznim konferencijama, skupovima, okruglim stolovima tematski vezanih uz po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dizanje financijske pismenosti.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6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7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078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079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05A72" w:rsidRPr="008D5D1B" w14:paraId="6D841084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C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7D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Održavanje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različitih edukativnih događanja u Zagrebu i drugim gradovima te kroz mrežu županijskih komora, u cilju podizanja razine financijske pismenosti učenika srednjih škola, studenata i poslovnih subjekata.</w:t>
            </w:r>
          </w:p>
          <w:p w14:paraId="6D84107E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7F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80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</w:tc>
        <w:tc>
          <w:tcPr>
            <w:tcW w:w="475" w:type="pct"/>
            <w:vMerge/>
            <w:vAlign w:val="center"/>
            <w:hideMark/>
          </w:tcPr>
          <w:p w14:paraId="6D841081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08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08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05A72" w:rsidRPr="008D5D1B" w14:paraId="6D84108C" w14:textId="77777777" w:rsidTr="0099019C">
        <w:trPr>
          <w:trHeight w:val="465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8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8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8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 radionica za edukaciju potrošača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88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vAlign w:val="center"/>
          </w:tcPr>
          <w:p w14:paraId="6D841089" w14:textId="77777777" w:rsidR="00B05A72" w:rsidRPr="008D5D1B" w:rsidRDefault="00B05A72" w:rsidP="00FF2D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08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6D84108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organiziranih radionica i broj sudionika.</w:t>
            </w:r>
          </w:p>
        </w:tc>
      </w:tr>
      <w:tr w:rsidR="00B05A72" w:rsidRPr="008D5D1B" w14:paraId="6D841094" w14:textId="77777777" w:rsidTr="0099019C">
        <w:trPr>
          <w:trHeight w:val="225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8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8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8F" w14:textId="77777777" w:rsidR="00B05A72" w:rsidRPr="00FF2D05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FF2D0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Nastavak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provedbe</w:t>
            </w:r>
            <w:r w:rsidRPr="00FF2D0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projekta „</w:t>
            </w:r>
            <w:r w:rsidRPr="00615D1F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Abeceda poduzetništva</w:t>
            </w:r>
            <w:r w:rsidRPr="00FF2D0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“ u srednjim školama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0" w14:textId="77777777" w:rsidR="00B05A72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Align w:val="center"/>
          </w:tcPr>
          <w:p w14:paraId="6D841091" w14:textId="77777777" w:rsidR="00B05A72" w:rsidRDefault="00B05A72" w:rsidP="00FF2D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FF2D0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IV. kvartal</w:t>
            </w:r>
          </w:p>
        </w:tc>
        <w:tc>
          <w:tcPr>
            <w:tcW w:w="604" w:type="pct"/>
            <w:vMerge/>
            <w:vAlign w:val="center"/>
          </w:tcPr>
          <w:p w14:paraId="6D84109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09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05A72" w:rsidRPr="008D5D1B" w14:paraId="6D84109C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7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Sudjelovanje u radu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eng.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Child and youth finance working group for youth financial education and financial inclusion South Eastern Europe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8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9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B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držanih događanja.</w:t>
            </w:r>
          </w:p>
        </w:tc>
      </w:tr>
      <w:tr w:rsidR="00B05A72" w:rsidRPr="008D5D1B" w14:paraId="6D8410A4" w14:textId="77777777" w:rsidTr="00B05A72">
        <w:trPr>
          <w:trHeight w:val="2576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D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E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9F" w14:textId="77777777" w:rsidR="00B05A72" w:rsidRPr="008D5D1B" w:rsidRDefault="00B05A72" w:rsidP="00F855A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 seminara i radionica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 kojima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SSSH i udruženi sindikati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financijski educiraju radnike - sindikalne povjerenike, članove Radničkih vijeća i sindikalne povjerenike za zaštitu na radu, kako što kvalitetnije nadzirati obračun plaće i ostalih materijalnih prava iz radnog odnosa. 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0" w14:textId="77777777" w:rsidR="00B05A72" w:rsidRPr="008D5D1B" w:rsidRDefault="00B05A72" w:rsidP="00F855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SSSH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1" w14:textId="77777777" w:rsidR="00B05A72" w:rsidRPr="008D5D1B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2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3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seminara/radionica i broj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sudionika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</w:tr>
      <w:tr w:rsidR="00B05A72" w:rsidRPr="008D5D1B" w14:paraId="6D8410AC" w14:textId="77777777" w:rsidTr="0099019C">
        <w:trPr>
          <w:trHeight w:val="872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5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6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7" w14:textId="77777777" w:rsidR="00B05A72" w:rsidRDefault="00B05A72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 radionice „Rad</w:t>
            </w:r>
            <w:r w:rsidR="00263BF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nije roba“, radionica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za aktiviste Sekcije mladih</w:t>
            </w:r>
            <w:r w:rsidR="00263BF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SSSH, informativnih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radionic</w:t>
            </w:r>
            <w:r w:rsidR="00263BF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za mlade o radnim pravima i sindikatu, </w:t>
            </w:r>
            <w:r w:rsidR="00263BF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radionica za mlade o radnim pravima i sindikalnom radu,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radionic</w:t>
            </w:r>
            <w:r w:rsidR="00C1777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umrežavanja aktivista SSSH i organizacija civilnog društva, te konferencije „Mladi u sindikatu 21. stoljeća“.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8" w14:textId="77777777" w:rsidR="00B05A72" w:rsidRDefault="00B05A72" w:rsidP="00F855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9" w14:textId="77777777" w:rsidR="00B05A72" w:rsidRDefault="00B05A72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A" w14:textId="77777777" w:rsidR="00B05A72" w:rsidRPr="008D5D1B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0AB" w14:textId="77777777" w:rsidR="00B05A72" w:rsidRDefault="00B05A72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A619FE" w:rsidRPr="008D5D1B" w14:paraId="6D841143" w14:textId="77777777" w:rsidTr="0099019C">
        <w:trPr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A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3.</w:t>
            </w:r>
          </w:p>
          <w:p w14:paraId="6D8410A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A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2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3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8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9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B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B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2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3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8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9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B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C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2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3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8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0D9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Edukacijske aktivnosti u svezi s fina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ncijskom pismenosti</w:t>
            </w:r>
          </w:p>
          <w:p w14:paraId="6D8410D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B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D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2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3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8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9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B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E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2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3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8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9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B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0F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2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3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8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9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B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0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2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3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8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9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B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E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1F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1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2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23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 predavanja namijenjenih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učenicima i studentima, prezentacije iz područja financijskih usluga koje uključuju teme vezane uz podizanje svijesti o važnosti financijske izobrazbe.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24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25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26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HANFA, HNB, HGK, ZSE, HUO, ŠTEDOPIS,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EFZG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– vlastita sredstva</w:t>
            </w:r>
          </w:p>
          <w:p w14:paraId="6D841127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8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9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A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B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C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D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E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2F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0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1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2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3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4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5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6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7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8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9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A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B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C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D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E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3F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40" w14:textId="77777777" w:rsidR="00A619FE" w:rsidRDefault="00A619FE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41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42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posjeta učenika i studenata financijskim institucijama i državnim institucijama te broj održanih predavanja, radionica, prezentacija iz područja financijskih usluga. Broj učenika odnosno studenata koji su sudjelovali na predavanjima. Zaključak nakon analize evaluacijskih listića o održanim predavanjima.</w:t>
            </w:r>
          </w:p>
        </w:tc>
      </w:tr>
      <w:tr w:rsidR="00A619FE" w:rsidRPr="008D5D1B" w14:paraId="6D84114D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44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45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46" w14:textId="77777777" w:rsidR="00A619FE" w:rsidRPr="008D5D1B" w:rsidRDefault="00A619FE" w:rsidP="00FF2D05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FF2D0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Predavanja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namijenjena učenicima i studentima  koja uključuju teme vezane za upravljanje osobnim financijama, financijske proizvode/usluge, utjecaj reklama na odluke o potrošnji, teme vezane uz tržište kapitala i ulaganja u investicijske fondove. 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47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48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49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4A" w14:textId="77777777" w:rsidR="00A619FE" w:rsidRPr="00FF2D05" w:rsidRDefault="00A619FE" w:rsidP="00FF2D05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FF2D0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održanih radionica i broj učenika odnosno studenata koji su sudjelovali na predavanjima. </w:t>
            </w:r>
          </w:p>
          <w:p w14:paraId="6D84114B" w14:textId="77777777" w:rsidR="00A619FE" w:rsidRPr="00FF2D05" w:rsidRDefault="00A619FE" w:rsidP="00FF2D05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4C" w14:textId="77777777" w:rsidR="00A619FE" w:rsidRPr="008D5D1B" w:rsidRDefault="00A619FE" w:rsidP="00FF2D05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FF2D0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Zaključak nakon analize evaluacijskih listića o održanim predavanjima</w:t>
            </w:r>
          </w:p>
        </w:tc>
      </w:tr>
      <w:tr w:rsidR="00A619FE" w:rsidRPr="008D5D1B" w14:paraId="6D841157" w14:textId="77777777" w:rsidTr="0099019C">
        <w:trPr>
          <w:trHeight w:val="797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4E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4F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50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Informiranje i educiranje učenika srednjih škola i fakulteta na temu financijske pismenosti putem radionica u školama  i edukativnih programa putem Interneta.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51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52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153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  <w:hideMark/>
          </w:tcPr>
          <w:p w14:paraId="6D841154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radionica, broj predavanja, broj sudionika.</w:t>
            </w:r>
          </w:p>
          <w:p w14:paraId="6D841155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Zaključak nakon analize evaluacijskih listića o održanim predavanjima. </w:t>
            </w:r>
          </w:p>
          <w:p w14:paraId="6D841156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dukativni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 programa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putem Interneta.</w:t>
            </w:r>
          </w:p>
        </w:tc>
      </w:tr>
      <w:tr w:rsidR="00A619FE" w:rsidRPr="008D5D1B" w14:paraId="6D841169" w14:textId="77777777" w:rsidTr="00D652EE">
        <w:trPr>
          <w:trHeight w:val="2070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58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59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5A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 predavanja za srednjoškolce i studente.</w:t>
            </w:r>
          </w:p>
          <w:p w14:paraId="6D84115B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Edukativna online igra burzovnog trgovanja.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5C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5D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ZSE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  <w:hideMark/>
          </w:tcPr>
          <w:p w14:paraId="6D84115E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15F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6D841160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1" w14:textId="77777777" w:rsidR="00322474" w:rsidRDefault="00322474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2" w14:textId="77777777" w:rsidR="00322474" w:rsidRPr="008D5D1B" w:rsidRDefault="00322474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3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predavanja i broj sudionika odnosno polaznika.</w:t>
            </w:r>
          </w:p>
          <w:p w14:paraId="6D841164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5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6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8" w14:textId="77777777" w:rsidR="00A619FE" w:rsidRPr="008D5D1B" w:rsidRDefault="00A619FE" w:rsidP="00D04DF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provedenih edukativno-kreativnih radionica i predavanja.</w:t>
            </w:r>
          </w:p>
        </w:tc>
      </w:tr>
      <w:tr w:rsidR="00A619FE" w:rsidRPr="008D5D1B" w14:paraId="6D841174" w14:textId="77777777" w:rsidTr="0099019C">
        <w:trPr>
          <w:trHeight w:val="1183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6A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6B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6C" w14:textId="77777777" w:rsidR="00A619FE" w:rsidRPr="008D5D1B" w:rsidRDefault="00A619FE" w:rsidP="00BA2340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Provođenje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edukativno kreativn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ih radionica i predavanja za učenike i studente.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6D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6E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6F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70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I. i II. kvartal</w:t>
            </w:r>
          </w:p>
          <w:p w14:paraId="6D841171" w14:textId="77777777" w:rsidR="00A619FE" w:rsidRPr="008D5D1B" w:rsidRDefault="00A619FE" w:rsidP="002E6603">
            <w:pPr>
              <w:jc w:val="center"/>
              <w:rPr>
                <w:rFonts w:ascii="Arial Narrow" w:hAnsi="Arial Narrow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172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173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A619FE" w:rsidRPr="008D5D1B" w14:paraId="6D84117F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75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76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77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78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edukativnih radionica i predavanja za učenike i studente pri čemu se sadržaj izlaganja usklađuje s pojedinačnim zahtjevima.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79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7A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17B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7C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7D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održanih događanja, predavanja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 broj sudionika odnosno polaznika.</w:t>
            </w:r>
          </w:p>
          <w:p w14:paraId="6D84117E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A619FE" w:rsidRPr="008D5D1B" w14:paraId="6D841188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80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81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82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 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dukativni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kvizov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znanja putem Interneta.</w:t>
            </w:r>
          </w:p>
          <w:p w14:paraId="6D841183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84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85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186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87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kvizova i broj prijavljenih timova.</w:t>
            </w:r>
          </w:p>
        </w:tc>
      </w:tr>
      <w:tr w:rsidR="00A619FE" w:rsidRPr="008D5D1B" w14:paraId="6D8411A1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89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8A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8B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Provođenje p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rojekt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„Više znamo, bolje razumijemo“ za učenike i nastavnike srednjih škola u Zagrebu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8C" w14:textId="77777777" w:rsidR="00A619FE" w:rsidRPr="008D5D1B" w:rsidRDefault="00A619FE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8D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I. kvartal</w:t>
            </w:r>
          </w:p>
        </w:tc>
        <w:tc>
          <w:tcPr>
            <w:tcW w:w="604" w:type="pct"/>
            <w:vMerge/>
            <w:vAlign w:val="center"/>
          </w:tcPr>
          <w:p w14:paraId="6D84118E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8F" w14:textId="77777777" w:rsidR="009A5226" w:rsidRDefault="009A5226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Provedena edukacija u pet zagrebačkih srednjih škola.</w:t>
            </w:r>
          </w:p>
          <w:p w14:paraId="6D841190" w14:textId="77777777" w:rsidR="009A5226" w:rsidRDefault="009A5226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91" w14:textId="77777777" w:rsidR="00DC07DC" w:rsidRPr="00DC07DC" w:rsidRDefault="009A5226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*</w:t>
            </w:r>
            <w:r w:rsidR="00DC07DC"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Edukacije se provode od 20.02. do 15.03.2019. na način da </w:t>
            </w:r>
            <w:r w:rsid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se u svakoj školi </w:t>
            </w:r>
            <w:r w:rsidR="00DC07DC"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</w:t>
            </w:r>
            <w:r w:rsid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državaju</w:t>
            </w:r>
            <w:r w:rsidR="00DC07DC"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dva bloka predavanja za učenike (sudjeluju isti učenici u oba bloka) i jedan za nastavnike:</w:t>
            </w:r>
          </w:p>
          <w:p w14:paraId="6D841192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1.    Elektrostrojarska obrtnička škola:</w:t>
            </w:r>
          </w:p>
          <w:p w14:paraId="6D841193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a.    20.02.2019.: 35 učenika i 43 nastavnika</w:t>
            </w:r>
          </w:p>
          <w:p w14:paraId="6D841194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b.    06.03.2019.: 35 učenika</w:t>
            </w:r>
          </w:p>
          <w:p w14:paraId="6D841195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2.    Škola za modu i dizajn:</w:t>
            </w:r>
          </w:p>
          <w:p w14:paraId="6D841196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a.    25.02.2019.: 42 učenika</w:t>
            </w:r>
          </w:p>
          <w:p w14:paraId="6D841197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b.    11.03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.2019. 42 učenika </w:t>
            </w:r>
          </w:p>
          <w:p w14:paraId="6D841198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3.    Prva ekonomska škola:</w:t>
            </w:r>
          </w:p>
          <w:p w14:paraId="6D841199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a.    27.02.2019.: 28 učenika</w:t>
            </w:r>
          </w:p>
          <w:p w14:paraId="6D84119A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b.    15.03.2019.: 28 učenika</w:t>
            </w:r>
          </w:p>
          <w:p w14:paraId="6D84119B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4.    III Gimnazija Kušlanova.</w:t>
            </w:r>
          </w:p>
          <w:p w14:paraId="6D84119C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b/>
                <w:bCs/>
                <w:color w:val="666666"/>
                <w:sz w:val="20"/>
                <w:szCs w:val="20"/>
                <w:lang w:eastAsia="hr-HR"/>
              </w:rPr>
              <w:t>a.    01.03.2019.: 30 učenika</w:t>
            </w:r>
          </w:p>
          <w:p w14:paraId="6D84119D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b.    15.03.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2019.: 30 učenika </w:t>
            </w:r>
          </w:p>
          <w:p w14:paraId="6D84119E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5.    Klasična gimnazija Križanićeva:</w:t>
            </w:r>
          </w:p>
          <w:p w14:paraId="6D84119F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a.    06.03.2019.: 35 učenika</w:t>
            </w:r>
          </w:p>
          <w:p w14:paraId="6D8411A0" w14:textId="77777777" w:rsidR="00A619FE" w:rsidRPr="008D5D1B" w:rsidRDefault="00DC07D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b.    08.03.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2019.: 35 učenika.</w:t>
            </w:r>
          </w:p>
        </w:tc>
      </w:tr>
      <w:tr w:rsidR="00A619FE" w:rsidRPr="008D5D1B" w14:paraId="6D8411AA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A2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A3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A4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konferencije »Dan hrvatskih financijskih institucija«.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A5" w14:textId="77777777" w:rsidR="00A619FE" w:rsidRPr="008D5D1B" w:rsidRDefault="00A619FE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11A6" w14:textId="77777777" w:rsidR="00A619FE" w:rsidRPr="008D5D1B" w:rsidRDefault="00A619FE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A7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IV. kvartal</w:t>
            </w:r>
          </w:p>
        </w:tc>
        <w:tc>
          <w:tcPr>
            <w:tcW w:w="604" w:type="pct"/>
            <w:vMerge/>
            <w:vAlign w:val="center"/>
            <w:hideMark/>
          </w:tcPr>
          <w:p w14:paraId="6D8411A8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A9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Održana Konferencija u Zagrebu</w:t>
            </w:r>
          </w:p>
        </w:tc>
      </w:tr>
      <w:tr w:rsidR="00A619FE" w:rsidRPr="008D5D1B" w14:paraId="6D8411B2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AB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AC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AD" w14:textId="77777777" w:rsidR="00A619FE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Predstavljanja namijenjena studentima u području financijske pismenosti, radionice za učenike osnovnih i srednjih  škola na temu financijske pismenosti i odgovorne potrošnje, radionice za profesore osnovnih i srednjih škola o važnosti i načinima podučavanja financijske pismenosti, program certificiranja edukatora u području financijske pismenosti.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AE" w14:textId="77777777" w:rsidR="00A619FE" w:rsidRPr="008D5D1B" w:rsidRDefault="00A619FE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AF" w14:textId="77777777" w:rsidR="00A619FE" w:rsidRPr="008D5D1B" w:rsidRDefault="00A619FE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1B0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1" w14:textId="77777777" w:rsidR="00A619FE" w:rsidRPr="008D5D1B" w:rsidRDefault="00A619FE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radionica,predstavljanja i programa te broj sudionika na predstavljanjima i radionicama i broj izdanih certifikata.</w:t>
            </w:r>
          </w:p>
        </w:tc>
      </w:tr>
      <w:tr w:rsidR="00C24CD5" w:rsidRPr="008D5D1B" w14:paraId="6D8411BC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3" w14:textId="77777777" w:rsidR="00C24CD5" w:rsidRPr="008D5D1B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4" w14:textId="77777777" w:rsidR="00C24CD5" w:rsidRPr="008D5D1B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5" w14:textId="77777777" w:rsidR="00C24CD5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Nastavak provedbe Ciklusa stručnih edukacija za udruge za zaštitu potrošača.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6" w14:textId="77777777" w:rsidR="00C24CD5" w:rsidRDefault="00C24CD5" w:rsidP="00C24CD5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7" w14:textId="77777777" w:rsidR="00C24CD5" w:rsidRDefault="00C24CD5" w:rsidP="00C24C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 w:val="restart"/>
            <w:vAlign w:val="center"/>
          </w:tcPr>
          <w:p w14:paraId="6D8411B8" w14:textId="77777777" w:rsidR="00C24CD5" w:rsidRDefault="00C24CD5" w:rsidP="00C24C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B9" w14:textId="77777777" w:rsidR="00C24CD5" w:rsidRPr="00C24CD5" w:rsidRDefault="00C24CD5" w:rsidP="00C24C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C24CD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 – državni proračun</w:t>
            </w:r>
          </w:p>
          <w:p w14:paraId="6D8411BA" w14:textId="77777777" w:rsidR="00C24CD5" w:rsidRDefault="00C24CD5" w:rsidP="00C24C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B" w14:textId="77777777" w:rsidR="00C24CD5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edukacija, broj sudionika.</w:t>
            </w:r>
          </w:p>
        </w:tc>
      </w:tr>
      <w:tr w:rsidR="00C24CD5" w:rsidRPr="008D5D1B" w14:paraId="6D8411C4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D" w14:textId="77777777" w:rsidR="00C24CD5" w:rsidRPr="008D5D1B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E" w14:textId="77777777" w:rsidR="00C24CD5" w:rsidRPr="008D5D1B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BF" w14:textId="77777777" w:rsidR="00C24CD5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Provedba projekata informiranja i edukacije 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C0" w14:textId="77777777" w:rsidR="00C24CD5" w:rsidRDefault="00C24CD5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C1" w14:textId="77777777" w:rsidR="00C24CD5" w:rsidRDefault="00C24CD5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1C2" w14:textId="77777777" w:rsidR="00C24CD5" w:rsidRDefault="00C24CD5" w:rsidP="00D64C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C3" w14:textId="77777777" w:rsidR="00C24CD5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provedenih projekata.</w:t>
            </w:r>
          </w:p>
        </w:tc>
      </w:tr>
      <w:tr w:rsidR="0099019C" w:rsidRPr="008D5D1B" w14:paraId="6D8411DB" w14:textId="77777777" w:rsidTr="0099019C">
        <w:trPr>
          <w:trHeight w:val="477"/>
          <w:jc w:val="center"/>
        </w:trPr>
        <w:tc>
          <w:tcPr>
            <w:tcW w:w="20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C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03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C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Provedba p</w:t>
            </w:r>
            <w:r w:rsidRPr="0006515A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rojekta „</w:t>
            </w:r>
            <w:r w:rsidRPr="0006515A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Središnji portal za potrošače“.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1C7" w14:textId="77777777" w:rsidR="0099019C" w:rsidRPr="00651F8F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Uspostavljanje </w:t>
            </w:r>
            <w:r w:rsidR="0099019C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„</w:t>
            </w:r>
            <w:r w:rsidR="0099019C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Središnj</w:t>
            </w:r>
            <w:r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eg</w:t>
            </w:r>
            <w:r w:rsidR="0099019C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 xml:space="preserve"> portal</w:t>
            </w:r>
            <w:r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a</w:t>
            </w:r>
            <w:r w:rsidR="0099019C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 xml:space="preserve"> za potrošače“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 prvoj polovici 2019. godine kako bi se građanima omogućila transparentna i sveobuhvatna informiranost te kako bi se potrebne informacije iz svih područja politike zaštite potrošača objedinile i pružile na centralnom mjestu.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C8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C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CA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  <w:p w14:paraId="6D8411CB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CC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CD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CE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CF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  <w:p w14:paraId="6D8411D0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D1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2" w14:textId="77777777" w:rsidR="0099019C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3" w14:textId="77777777" w:rsidR="00C24CD5" w:rsidRDefault="00C24CD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4" w14:textId="77777777" w:rsidR="0099019C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 – državni proračun</w:t>
            </w:r>
          </w:p>
          <w:p w14:paraId="6D8411D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8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DA" w14:textId="77777777" w:rsidR="0099019C" w:rsidRPr="008D5D1B" w:rsidRDefault="00074B3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posjeta mrežnoj stranici.</w:t>
            </w:r>
          </w:p>
        </w:tc>
      </w:tr>
      <w:tr w:rsidR="0099019C" w:rsidRPr="008D5D1B" w14:paraId="6D841216" w14:textId="77777777" w:rsidTr="0099019C">
        <w:trPr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DC" w14:textId="77777777" w:rsidR="0099019C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D" w14:textId="77777777" w:rsidR="00F31D43" w:rsidRDefault="00F31D4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E" w14:textId="77777777" w:rsidR="00F31D43" w:rsidRDefault="00F31D4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DF" w14:textId="77777777" w:rsidR="00F31D43" w:rsidRDefault="00F31D4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0" w14:textId="77777777" w:rsidR="00F31D43" w:rsidRDefault="00F31D4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1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5.</w:t>
            </w:r>
          </w:p>
          <w:p w14:paraId="6D8411E2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3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4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5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6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7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8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9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A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B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C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D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E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EF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0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1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2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3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4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5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D8411F6" w14:textId="77777777" w:rsidR="0099019C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7" w14:textId="77777777" w:rsidR="0099019C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8" w14:textId="77777777" w:rsidR="0099019C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1F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Suradnja s nadležnim ministarstvima, članovima Operativne radne grupe te ostalim institucijama relevantnim za </w:t>
            </w:r>
          </w:p>
          <w:p w14:paraId="6D8411FA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podizanje razine financijske pismenosti.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FB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Aktivna suradnja članova Operativne radne grupe s ciljem podizanja razine financijske pismenosti potrošača.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1FC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</w:p>
          <w:p w14:paraId="6D8411FD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  <w:p w14:paraId="6D8411FE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MIZ</w:t>
            </w:r>
          </w:p>
          <w:p w14:paraId="6D8411FF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MZO</w:t>
            </w:r>
          </w:p>
          <w:p w14:paraId="6D841200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</w:t>
            </w:r>
          </w:p>
          <w:p w14:paraId="6D841201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  <w:p w14:paraId="6D841202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  <w:p w14:paraId="6D841203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  <w:p w14:paraId="6D841204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1205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  <w:p w14:paraId="6D841206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ZSE</w:t>
            </w:r>
          </w:p>
          <w:p w14:paraId="6D841207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  <w:p w14:paraId="6D841208" w14:textId="77777777" w:rsidR="0099019C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  <w:p w14:paraId="6D841209" w14:textId="77777777" w:rsidR="0099019C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  <w:p w14:paraId="6D84120A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SSSH</w:t>
            </w:r>
          </w:p>
          <w:p w14:paraId="6D84120B" w14:textId="77777777" w:rsidR="0099019C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  <w:p w14:paraId="6D84120C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0D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0E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  <w:p w14:paraId="6D84120F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10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MZO, MIZ, AZOO – državni proračun</w:t>
            </w:r>
          </w:p>
          <w:p w14:paraId="6D841211" w14:textId="77777777" w:rsidR="0099019C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12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13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HANFA, HNB, HGK, HUO, HUB, ZSE, HUP, UMFO,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EFZG, SSSH,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HIFE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– vlastita sredstva</w:t>
            </w:r>
          </w:p>
          <w:p w14:paraId="6D841214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1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Kontinuitet aktivne suradnje nadležnih ministarstava, članova Operativne radne grupe te ostalih institucija relevantnih za podizanje razine financijske pismenosti.</w:t>
            </w:r>
          </w:p>
        </w:tc>
      </w:tr>
      <w:tr w:rsidR="0099019C" w:rsidRPr="008D5D1B" w14:paraId="6D841224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21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18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1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Suradnja sa županijskim stručnim vijećima z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 građanski odgoj i obrazovanje koja se realizira održavanjem raznih seminara,stručnih predavanja i drugih događanja namijenjenih financijskoj edukaciji.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1A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</w:t>
            </w:r>
          </w:p>
          <w:p w14:paraId="6D84121B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  <w:p w14:paraId="6D84121C" w14:textId="77777777" w:rsidR="0099019C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  <w:p w14:paraId="6D84121D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vMerge/>
            <w:vAlign w:val="center"/>
            <w:hideMark/>
          </w:tcPr>
          <w:p w14:paraId="6D84121E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21F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20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21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održanih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seminara, stručnih predavanja i drugih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događanja, broj polaznika te povratna informacija.</w:t>
            </w:r>
          </w:p>
          <w:p w14:paraId="6D841222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23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8D5D1B" w14:paraId="6D84122C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22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2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2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Suradnja s MINGPO –</w:t>
            </w:r>
            <w:r w:rsidR="00CD4F58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Odjelom za zaštitu potrošača te Udrugama i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Savjetovalištima za zaštitu potroš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ača putem održavanja raznih događanja.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28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</w:tc>
        <w:tc>
          <w:tcPr>
            <w:tcW w:w="475" w:type="pct"/>
            <w:vMerge/>
            <w:vAlign w:val="center"/>
            <w:hideMark/>
          </w:tcPr>
          <w:p w14:paraId="6D841229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22A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  <w:hideMark/>
          </w:tcPr>
          <w:p w14:paraId="6D84122B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držanih događanja,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broj obuhvaćenih potrošača.</w:t>
            </w:r>
          </w:p>
        </w:tc>
      </w:tr>
      <w:tr w:rsidR="0099019C" w:rsidRPr="008D5D1B" w14:paraId="6D841236" w14:textId="77777777" w:rsidTr="0099019C">
        <w:trPr>
          <w:trHeight w:val="375"/>
          <w:jc w:val="center"/>
        </w:trPr>
        <w:tc>
          <w:tcPr>
            <w:tcW w:w="209" w:type="pct"/>
            <w:vMerge/>
            <w:vAlign w:val="center"/>
            <w:hideMark/>
          </w:tcPr>
          <w:p w14:paraId="6D84122D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2E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2F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Suradnja s udrugama studenata, uključujući i suradnju pri održavanju specijaliziranih ljetnih škola, susreta i slično.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30" w14:textId="77777777" w:rsidR="0099019C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  <w:p w14:paraId="6D841231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14:paraId="6D841232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233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34" w14:textId="77777777" w:rsidR="0099019C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ostvarenih suradnji.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</w:p>
          <w:p w14:paraId="6D84123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8D5D1B" w14:paraId="6D84123F" w14:textId="77777777" w:rsidTr="0099019C">
        <w:trPr>
          <w:trHeight w:val="540"/>
          <w:jc w:val="center"/>
        </w:trPr>
        <w:tc>
          <w:tcPr>
            <w:tcW w:w="209" w:type="pct"/>
            <w:vMerge/>
            <w:vAlign w:val="center"/>
          </w:tcPr>
          <w:p w14:paraId="6D84123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38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3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3A" w14:textId="77777777" w:rsidR="0099019C" w:rsidRPr="008D5D1B" w:rsidRDefault="0099019C" w:rsidP="00C22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vMerge/>
            <w:vAlign w:val="center"/>
          </w:tcPr>
          <w:p w14:paraId="6D84123B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23C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3D" w14:textId="77777777" w:rsidR="0099019C" w:rsidRPr="00C22226" w:rsidRDefault="0099019C" w:rsidP="00C2222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C2222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ostvarenih suradnji. </w:t>
            </w:r>
          </w:p>
          <w:p w14:paraId="6D84123E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364CED" w:rsidRPr="008D5D1B" w14:paraId="6D841249" w14:textId="77777777" w:rsidTr="00364CED">
        <w:trPr>
          <w:trHeight w:val="529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0" w14:textId="77777777" w:rsidR="00364CED" w:rsidRPr="008D5D1B" w:rsidRDefault="00364CED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1" w14:textId="77777777" w:rsidR="00364CED" w:rsidRPr="008D5D1B" w:rsidRDefault="00364CED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2" w14:textId="77777777" w:rsidR="00364CED" w:rsidRPr="008D5D1B" w:rsidRDefault="00364CED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5F2EBD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Suradnja s Knjižnicama Grada Zagreba 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3" w14:textId="77777777" w:rsidR="00364CED" w:rsidRDefault="00364CED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  <w:p w14:paraId="6D841244" w14:textId="77777777" w:rsidR="00364CED" w:rsidRPr="008D5D1B" w:rsidRDefault="00364CED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5" w14:textId="77777777" w:rsidR="00364CED" w:rsidRPr="008D5D1B" w:rsidRDefault="00364CED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6" w14:textId="77777777" w:rsidR="00364CED" w:rsidRPr="008D5D1B" w:rsidRDefault="00364CED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7" w14:textId="77777777" w:rsidR="00364CED" w:rsidRPr="005F2EBD" w:rsidRDefault="00364CED" w:rsidP="005F2EBD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5F2EBD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događanja, broj polaznika te povratna informacija.</w:t>
            </w:r>
          </w:p>
          <w:p w14:paraId="6D841248" w14:textId="77777777" w:rsidR="00364CED" w:rsidRPr="008D5D1B" w:rsidRDefault="00364CED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364CED" w:rsidRPr="008D5D1B" w14:paraId="6D841251" w14:textId="77777777" w:rsidTr="0099019C">
        <w:trPr>
          <w:trHeight w:val="571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A" w14:textId="77777777" w:rsidR="00364CED" w:rsidRPr="008D5D1B" w:rsidRDefault="00364CED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B" w14:textId="77777777" w:rsidR="00364CED" w:rsidRPr="008D5D1B" w:rsidRDefault="00364CED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C" w14:textId="77777777" w:rsidR="00364CED" w:rsidRPr="005F2EBD" w:rsidRDefault="00364CED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D" w14:textId="77777777" w:rsidR="00364CED" w:rsidRDefault="00364CED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364CED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E" w14:textId="77777777" w:rsidR="00364CED" w:rsidRPr="008D5D1B" w:rsidRDefault="00364CED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4F" w14:textId="77777777" w:rsidR="00364CED" w:rsidRPr="008D5D1B" w:rsidRDefault="00364CED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0" w14:textId="77777777" w:rsidR="00364CED" w:rsidRPr="005F2EBD" w:rsidRDefault="00364CED" w:rsidP="005F2EBD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916142" w14:paraId="6D84125B" w14:textId="77777777" w:rsidTr="0099019C">
        <w:trPr>
          <w:trHeight w:val="879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2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3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4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Sudjelovanje u projektu pružanja tehničke pomoći u financijskom obrazovanju u organizaciji OECD/INFE i Ministarstva financija Nizozemske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5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</w:p>
          <w:p w14:paraId="6D841256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  <w:p w14:paraId="6D841257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HANFA </w:t>
            </w: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8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9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A" w14:textId="77777777" w:rsidR="0099019C" w:rsidRPr="008D5D1B" w:rsidRDefault="0099019C" w:rsidP="00916142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Provedba projekta tehničke pomoći u financijskom obrazovanju.</w:t>
            </w:r>
          </w:p>
        </w:tc>
      </w:tr>
      <w:tr w:rsidR="00127685" w:rsidRPr="00C22226" w14:paraId="6D84126A" w14:textId="77777777" w:rsidTr="00127685">
        <w:trPr>
          <w:trHeight w:val="1522"/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5C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5D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Izrada, izdavanje i objava edukativnih materijala, brošura i publikacija, internetskih stranica i korisnih uputa u svezi s financijskim opismenjavanjem i obrazovanjem.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E" w14:textId="77777777" w:rsidR="00127685" w:rsidRPr="008D5D1B" w:rsidRDefault="00127685" w:rsidP="00127685">
            <w:pP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2E77E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Izrada i objava brošura, publikacija, uputa, stručnih tekstova i slično o različitim finan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cijskim uslugama i proizvodima.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5F" w14:textId="77777777" w:rsidR="00127685" w:rsidRDefault="00127685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1260" w14:textId="77777777" w:rsidR="00127685" w:rsidRPr="008D5D1B" w:rsidRDefault="00127685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61" w14:textId="77777777" w:rsidR="00127685" w:rsidRPr="008D5D1B" w:rsidRDefault="00127685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62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63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MFIN,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MINGPO,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MZO, MIZ, AZOO – državni proračun</w:t>
            </w:r>
          </w:p>
          <w:p w14:paraId="6D841264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65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66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67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HANFA, HNB, HGK, HUO, HUB, ZSE, HUP, UMFO,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EFZG, SSSH,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 – vlastita sredstva</w:t>
            </w:r>
          </w:p>
          <w:p w14:paraId="6D841268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69" w14:textId="77777777" w:rsidR="00127685" w:rsidRPr="008D5D1B" w:rsidRDefault="00127685" w:rsidP="00C2222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izrađenih, izdanih i objavljenih edukativnih </w:t>
            </w:r>
            <w:r w:rsidRPr="00C2222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materijala, brošura, publ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ikacija, knjiga, letaka i sl</w:t>
            </w:r>
            <w:r w:rsidRPr="00C2222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</w:tr>
      <w:tr w:rsidR="00DE715B" w:rsidRPr="008D5D1B" w14:paraId="6D841272" w14:textId="77777777" w:rsidTr="0099019C">
        <w:trPr>
          <w:trHeight w:val="705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6B" w14:textId="77777777" w:rsidR="00DE715B" w:rsidRPr="008D5D1B" w:rsidRDefault="00DE71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6C" w14:textId="77777777" w:rsidR="00DE715B" w:rsidRPr="008D5D1B" w:rsidRDefault="00DE71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6D" w14:textId="77777777" w:rsidR="00DE715B" w:rsidRPr="008D5D1B" w:rsidRDefault="00DE71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Promocija sveučilišnog priručnika „</w:t>
            </w:r>
            <w:r w:rsidRPr="00F31D43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Financijska pismenost i odgovorna potrošnja u svakodnevnom životu“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6E" w14:textId="77777777" w:rsidR="00DE715B" w:rsidRPr="008D5D1B" w:rsidRDefault="00DE715B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6F" w14:textId="77777777" w:rsidR="00DE715B" w:rsidRPr="008D5D1B" w:rsidRDefault="00DE715B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0" w14:textId="77777777" w:rsidR="00DE715B" w:rsidRPr="008D5D1B" w:rsidRDefault="00DE715B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1" w14:textId="77777777" w:rsidR="00DE715B" w:rsidRPr="008D5D1B" w:rsidRDefault="00DE715B" w:rsidP="00986340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C2222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iz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danih sveučilišnih priručnika</w:t>
            </w:r>
            <w:r w:rsidR="00986340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i održanih promocija</w:t>
            </w:r>
            <w:r w:rsidR="00F31D43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</w:tr>
      <w:tr w:rsidR="00DE715B" w:rsidRPr="008D5D1B" w14:paraId="6D84127A" w14:textId="77777777" w:rsidTr="0099019C">
        <w:trPr>
          <w:trHeight w:val="705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3" w14:textId="77777777" w:rsidR="00DE715B" w:rsidRPr="008D5D1B" w:rsidRDefault="00DE71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4" w14:textId="77777777" w:rsidR="00DE715B" w:rsidRPr="008D5D1B" w:rsidRDefault="00DE71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5" w14:textId="77777777" w:rsidR="00DE715B" w:rsidRDefault="00DE71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E715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Edukativna knjižica za učenike </w:t>
            </w:r>
            <w:r w:rsidRPr="00F31D43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„Isplati se znati“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6" w14:textId="77777777" w:rsidR="00DE715B" w:rsidRDefault="00DE715B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7" w14:textId="77777777" w:rsidR="00DE715B" w:rsidRPr="008D5D1B" w:rsidRDefault="00DE715B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DE715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IV. kvartal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8" w14:textId="77777777" w:rsidR="00DE715B" w:rsidRPr="008D5D1B" w:rsidRDefault="00DE715B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9" w14:textId="77777777" w:rsidR="00DE715B" w:rsidRPr="00C22226" w:rsidRDefault="00986340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986340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izdanih edukativnih knjižica.</w:t>
            </w:r>
          </w:p>
        </w:tc>
      </w:tr>
      <w:tr w:rsidR="00127685" w:rsidRPr="008D5D1B" w14:paraId="6D841282" w14:textId="77777777" w:rsidTr="0099019C">
        <w:trPr>
          <w:trHeight w:val="705"/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B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C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D" w14:textId="77777777" w:rsidR="00127685" w:rsidRPr="00DE715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Projekt </w:t>
            </w:r>
            <w:r w:rsidRPr="00F31D43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„Priručnik za potrošače</w:t>
            </w:r>
            <w:r w:rsidR="00A619FE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“ – dopunjeno izdanje.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E" w14:textId="77777777" w:rsidR="00127685" w:rsidRDefault="00127685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MINGPO/ ostali dionici zaštite</w:t>
            </w:r>
            <w:r w:rsidR="00A619FE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potrošača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7F" w14:textId="77777777" w:rsidR="00127685" w:rsidRPr="00DE715B" w:rsidRDefault="00127685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I. kvartal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80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81" w14:textId="77777777" w:rsidR="00127685" w:rsidRPr="00986340" w:rsidRDefault="00127685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Broj tiskanih primjeraka.</w:t>
            </w:r>
          </w:p>
        </w:tc>
      </w:tr>
      <w:tr w:rsidR="00127685" w:rsidRPr="008D5D1B" w14:paraId="6D841290" w14:textId="77777777" w:rsidTr="00D652EE">
        <w:trPr>
          <w:trHeight w:val="696"/>
          <w:jc w:val="center"/>
        </w:trPr>
        <w:tc>
          <w:tcPr>
            <w:tcW w:w="209" w:type="pct"/>
            <w:vMerge/>
            <w:vAlign w:val="center"/>
            <w:hideMark/>
          </w:tcPr>
          <w:p w14:paraId="6D841283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84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85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Objava relevantnih informacija na internetskoj stranici u svezi s financijskom pismenosti p</w:t>
            </w:r>
            <w:r w:rsidR="00F31D43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otrošača te njezino ažuriranje.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86" w14:textId="77777777" w:rsidR="00127685" w:rsidRPr="008D5D1B" w:rsidRDefault="00127685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</w:tc>
        <w:tc>
          <w:tcPr>
            <w:tcW w:w="475" w:type="pct"/>
            <w:vMerge w:val="restart"/>
            <w:vAlign w:val="center"/>
            <w:hideMark/>
          </w:tcPr>
          <w:p w14:paraId="6D841287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288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vAlign w:val="center"/>
            <w:hideMark/>
          </w:tcPr>
          <w:p w14:paraId="6D841289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8A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Posjećenost portala, broj pregleda te preuzimanja materijala.</w:t>
            </w:r>
          </w:p>
          <w:p w14:paraId="6D84128B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8C" w14:textId="77777777" w:rsidR="00127685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8D" w14:textId="77777777" w:rsidR="00127685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8E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Dodatno tiskanje i distribucija (direktno i putem društava za osiguranje) brošure „Č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emu zapravo služi osiguranje?“ i drugih informativnih materijala</w:t>
            </w:r>
          </w:p>
          <w:p w14:paraId="6D84128F" w14:textId="77777777" w:rsidR="00127685" w:rsidRPr="008D5D1B" w:rsidRDefault="00127685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127685" w:rsidRPr="008D5D1B" w14:paraId="6D841298" w14:textId="77777777" w:rsidTr="00127685">
        <w:trPr>
          <w:trHeight w:val="869"/>
          <w:jc w:val="center"/>
        </w:trPr>
        <w:tc>
          <w:tcPr>
            <w:tcW w:w="209" w:type="pct"/>
            <w:vMerge/>
            <w:vAlign w:val="center"/>
          </w:tcPr>
          <w:p w14:paraId="6D841291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92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vAlign w:val="center"/>
          </w:tcPr>
          <w:p w14:paraId="6D841293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94" w14:textId="77777777" w:rsidR="00127685" w:rsidRDefault="00127685" w:rsidP="001276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</w:p>
        </w:tc>
        <w:tc>
          <w:tcPr>
            <w:tcW w:w="475" w:type="pct"/>
            <w:vMerge/>
            <w:vAlign w:val="center"/>
          </w:tcPr>
          <w:p w14:paraId="6D841295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296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297" w14:textId="77777777" w:rsidR="00127685" w:rsidRPr="008D5D1B" w:rsidRDefault="00127685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2A0" w14:textId="77777777" w:rsidTr="00F31D43">
        <w:trPr>
          <w:trHeight w:val="543"/>
          <w:jc w:val="center"/>
        </w:trPr>
        <w:tc>
          <w:tcPr>
            <w:tcW w:w="209" w:type="pct"/>
            <w:vMerge/>
            <w:vAlign w:val="center"/>
          </w:tcPr>
          <w:p w14:paraId="6D841299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9A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vAlign w:val="center"/>
          </w:tcPr>
          <w:p w14:paraId="6D84129B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9C" w14:textId="77777777" w:rsidR="002E77EF" w:rsidRPr="008D5D1B" w:rsidRDefault="002E77EF" w:rsidP="00C22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vMerge/>
            <w:vAlign w:val="center"/>
          </w:tcPr>
          <w:p w14:paraId="6D84129D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29E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29F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2A8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2A1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A2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A3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Izrada ili objava edukativnih materijala i uputa vezanih uz bankarske i financijske usluge.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A4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</w:tc>
        <w:tc>
          <w:tcPr>
            <w:tcW w:w="475" w:type="pct"/>
            <w:vMerge/>
            <w:vAlign w:val="center"/>
            <w:hideMark/>
          </w:tcPr>
          <w:p w14:paraId="6D8412A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2A6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2A7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2B0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2A9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AA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AB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Objava materijala vezanih uz financijske usluge.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AC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</w:tc>
        <w:tc>
          <w:tcPr>
            <w:tcW w:w="475" w:type="pct"/>
            <w:vMerge/>
            <w:vAlign w:val="center"/>
            <w:hideMark/>
          </w:tcPr>
          <w:p w14:paraId="6D8412AD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2AE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2AF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2B8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2B1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B2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B3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Izdavanje brošure i informativnih materijala o financijskoj pismenosti na području osiguranja te njihova objava na internetskoj stranici.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B4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</w:tc>
        <w:tc>
          <w:tcPr>
            <w:tcW w:w="475" w:type="pct"/>
            <w:vMerge/>
            <w:vAlign w:val="center"/>
            <w:hideMark/>
          </w:tcPr>
          <w:p w14:paraId="6D8412B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2B6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2B7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2C3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2B9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BA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BB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Izdavanje edukativnog materijala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za mlade koji po prvi puta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ulaze na tržište rada te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objava na internetskoj stranici.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BC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BD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MFIN, MINGPO, MIZ, MZO, AZOO, HANFA, HNB, HGK, HUO, HUB, ZSE, HUP, UMFO,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EFZG,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ŠTEDOPIS </w:t>
            </w:r>
          </w:p>
          <w:p w14:paraId="6D8412BE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BF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C0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604" w:type="pct"/>
            <w:vMerge/>
            <w:vAlign w:val="center"/>
          </w:tcPr>
          <w:p w14:paraId="6D8412C1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2C2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2CB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2C4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2C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C6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Izdavanje edukativnih materijala u kojima se opisuju pojmovi iz područja mirovinskih fondova i mirovinskog sustava.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C7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2C8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II. kvartal</w:t>
            </w:r>
          </w:p>
        </w:tc>
        <w:tc>
          <w:tcPr>
            <w:tcW w:w="604" w:type="pct"/>
            <w:vMerge/>
            <w:vAlign w:val="center"/>
            <w:hideMark/>
          </w:tcPr>
          <w:p w14:paraId="6D8412C9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2CA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2D3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2CC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CD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CE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BE5643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 je pokrovitelj tiskane publikacije „Vodič kroz osobne financije“ koja će biti objavljena 2019. godine i biti dostupna na raznim prodajnim mjestima u Republici Hrvatskoj. Također, HUB će organizirati prigodno predstavljanje tiskane publikacije te na taj način dodatno promovirati „Vodič kroz osobne financije“.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CF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D0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</w:t>
            </w:r>
            <w:r w:rsidR="00413D5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604" w:type="pct"/>
            <w:vMerge/>
            <w:vAlign w:val="center"/>
          </w:tcPr>
          <w:p w14:paraId="6D8412D1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</w:tcPr>
          <w:p w14:paraId="6D8412D2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BE5643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 tiskanih publikacija i  predstavljanja.</w:t>
            </w:r>
          </w:p>
        </w:tc>
      </w:tr>
      <w:tr w:rsidR="002E77EF" w:rsidRPr="008D5D1B" w14:paraId="6D8412F1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2D4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D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D6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Izrada edukativnih materijala i programa za edukaciju potrošača. Izrada online brošura na temu prava potrošača korisnika financijskih i javnih usluga.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D7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D8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D9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DA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DB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DC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DD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DE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  <w:p w14:paraId="6D8412DF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0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1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2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3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4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5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6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7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8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9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A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B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C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2ED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EE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2EF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</w:tcPr>
          <w:p w14:paraId="6D8412F0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programa i edukativnih materijala, broj informiranih potrošača.</w:t>
            </w:r>
          </w:p>
        </w:tc>
      </w:tr>
      <w:tr w:rsidR="002E77EF" w:rsidRPr="008D5D1B" w14:paraId="6D8412FA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2F2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F3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F4" w14:textId="77777777" w:rsidR="002E77EF" w:rsidRPr="005F2EBD" w:rsidRDefault="002E77EF" w:rsidP="005F2EBD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5F2EBD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Objava relevantnih informacija na internetskoj stranici u svezi s financijskom pismenosti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potrošača te njezino ažuriranje i nadogradnja -</w:t>
            </w:r>
          </w:p>
          <w:p w14:paraId="6D8412F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5F2EBD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www.hife.hr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F6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F7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2F8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</w:tcPr>
          <w:p w14:paraId="6D8412F9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4E0BDA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pregleda i objavljenih sadržaja</w:t>
            </w:r>
          </w:p>
        </w:tc>
      </w:tr>
      <w:tr w:rsidR="002E77EF" w:rsidRPr="008D5D1B" w14:paraId="6D841303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2FB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2FC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FD" w14:textId="77777777" w:rsidR="002E77EF" w:rsidRPr="005F2EBD" w:rsidRDefault="002E77EF" w:rsidP="00615D1F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5F2EBD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Nastavak realizacije projekata: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  <w:r w:rsidRPr="00615D1F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„Abeceda financija za mlade“; „Novac u književnosti“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; i</w:t>
            </w:r>
          </w:p>
          <w:p w14:paraId="6D8412FE" w14:textId="77777777" w:rsidR="002E77EF" w:rsidRPr="005F2EBD" w:rsidRDefault="002E77EF" w:rsidP="005F2EBD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„</w:t>
            </w:r>
            <w:r w:rsidRPr="00615D1F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Abeceda odgovornosti potrošača“.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2FF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00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301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</w:tcPr>
          <w:p w14:paraId="6D841302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4E0BDA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 radionica i objavljenih tekstova na temu „</w:t>
            </w:r>
            <w:r w:rsidRPr="00615D1F">
              <w:rPr>
                <w:rFonts w:ascii="Arial Narrow" w:eastAsia="Times New Roman" w:hAnsi="Arial Narrow" w:cs="Times New Roman"/>
                <w:i/>
                <w:color w:val="666666"/>
                <w:sz w:val="20"/>
                <w:szCs w:val="20"/>
                <w:lang w:eastAsia="hr-HR"/>
              </w:rPr>
              <w:t>Novac u književnosti“</w:t>
            </w:r>
            <w:r w:rsidRPr="004E0BDA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broj polaznika te povratna informacija.</w:t>
            </w:r>
          </w:p>
        </w:tc>
      </w:tr>
      <w:tr w:rsidR="002E77EF" w:rsidRPr="008D5D1B" w14:paraId="6D84130B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304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0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06" w14:textId="77777777" w:rsidR="002E77EF" w:rsidRPr="005F2EBD" w:rsidRDefault="002E77EF" w:rsidP="005F2EBD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4E0BDA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Objava sadržaja za financijsku edukaciju primjenom napredne 3D tehnologije virtualnih šetnja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07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08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309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</w:tcPr>
          <w:p w14:paraId="6D84130A" w14:textId="77777777" w:rsidR="002E77EF" w:rsidRPr="004E0BDA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4E0BDA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objavljenih snimaka</w:t>
            </w:r>
          </w:p>
        </w:tc>
      </w:tr>
      <w:tr w:rsidR="002E77EF" w:rsidRPr="008D5D1B" w14:paraId="6D841314" w14:textId="77777777" w:rsidTr="0099019C">
        <w:trPr>
          <w:trHeight w:val="1910"/>
          <w:jc w:val="center"/>
        </w:trPr>
        <w:tc>
          <w:tcPr>
            <w:tcW w:w="209" w:type="pct"/>
            <w:vMerge/>
            <w:vAlign w:val="center"/>
          </w:tcPr>
          <w:p w14:paraId="6D84130C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0D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0E" w14:textId="77777777" w:rsidR="002E77EF" w:rsidRPr="004E0BDA" w:rsidRDefault="002E77EF" w:rsidP="003B2259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Izrada 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edukativni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 materijala i objava na internetskim por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talima sa sadržajem o primanjima umirovljenika s osnove rada i njihovih redovnih mi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rovinskih primanja. Suradnja s 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udruženi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sindikat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om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SUH -</w:t>
            </w:r>
            <w:r w:rsidRPr="003B2259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Sindikat umirovljenika Hrvatske. 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0F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SSSH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10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311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6D841312" w14:textId="77777777" w:rsidR="002E77EF" w:rsidRPr="00F855A6" w:rsidRDefault="002E77EF" w:rsidP="00F855A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izrađenih edukativnih materijala i publikacija, broj objava na portalima, te b</w:t>
            </w:r>
            <w:r w:rsidRPr="00F855A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roj savjeta članovima SUH-a (korisnika).</w:t>
            </w:r>
          </w:p>
          <w:p w14:paraId="6D841313" w14:textId="77777777" w:rsidR="002E77EF" w:rsidRPr="004E0BDA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31C" w14:textId="77777777" w:rsidTr="00C63A01">
        <w:trPr>
          <w:trHeight w:val="1340"/>
          <w:jc w:val="center"/>
        </w:trPr>
        <w:tc>
          <w:tcPr>
            <w:tcW w:w="209" w:type="pct"/>
            <w:vMerge/>
            <w:vAlign w:val="center"/>
          </w:tcPr>
          <w:p w14:paraId="6D84131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16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17" w14:textId="77777777" w:rsidR="002E77EF" w:rsidRDefault="002E77EF" w:rsidP="003B2259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Izrada edukativnih materijala za mlade o sindikalnom organiziranju i radnim pravima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18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19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31A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31B" w14:textId="77777777" w:rsidR="002E77EF" w:rsidRDefault="002E77EF" w:rsidP="00F855A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325" w14:textId="77777777" w:rsidTr="0099019C">
        <w:trPr>
          <w:trHeight w:val="402"/>
          <w:jc w:val="center"/>
        </w:trPr>
        <w:tc>
          <w:tcPr>
            <w:tcW w:w="209" w:type="pct"/>
            <w:vMerge/>
            <w:vAlign w:val="center"/>
          </w:tcPr>
          <w:p w14:paraId="6D84131D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1E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1F" w14:textId="77777777" w:rsidR="002E77EF" w:rsidRDefault="002E77EF" w:rsidP="003B2259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3B2259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SSSH za financijsku edukaciju svojih članova, uglavnom sindikalnih povjerenika, članova Radničkih vijeća i sindikalnih povje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renika za zaštitu na radu planira izrađivati edukativne publikacije.</w:t>
            </w:r>
          </w:p>
          <w:p w14:paraId="6D841320" w14:textId="77777777" w:rsidR="009A5226" w:rsidRDefault="009A5226" w:rsidP="003B2259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21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22" w14:textId="77777777" w:rsidR="002E77EF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323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324" w14:textId="77777777" w:rsidR="002E77EF" w:rsidRDefault="002E77EF" w:rsidP="00F855A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333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326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27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28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Projekt financijske pismenosti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faza II, „Zašto (ni)ovo nismo učili u školi“, za građane 18+  i objava na internetskoj stranici.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29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2A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IV. kvartal</w:t>
            </w:r>
          </w:p>
        </w:tc>
        <w:tc>
          <w:tcPr>
            <w:tcW w:w="604" w:type="pct"/>
            <w:vMerge/>
            <w:vAlign w:val="center"/>
          </w:tcPr>
          <w:p w14:paraId="6D84132B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6D84132C" w14:textId="77777777" w:rsidR="002E77EF" w:rsidRDefault="002E77EF" w:rsidP="00BF4B0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Provedena II. faza projekta. Razvijen i nadograđen portal. </w:t>
            </w:r>
          </w:p>
          <w:p w14:paraId="6D84132D" w14:textId="77777777" w:rsidR="002E77EF" w:rsidRPr="008D5D1B" w:rsidRDefault="002E77EF" w:rsidP="00BF4B0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izrađenih, izdanih i objavljenih edukativnih materijala, publikacija;</w:t>
            </w:r>
          </w:p>
          <w:p w14:paraId="6D84132E" w14:textId="77777777" w:rsidR="002E77EF" w:rsidRPr="008D5D1B" w:rsidRDefault="002E77EF" w:rsidP="00BF4B0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pregleda te preuzimanja materijala.</w:t>
            </w:r>
          </w:p>
          <w:p w14:paraId="6D84132F" w14:textId="77777777" w:rsidR="002E77EF" w:rsidRPr="008D5D1B" w:rsidRDefault="002E77EF" w:rsidP="00BF4B0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30" w14:textId="77777777" w:rsidR="002E77EF" w:rsidRPr="008D5D1B" w:rsidRDefault="002E77EF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31" w14:textId="77777777" w:rsidR="002E77EF" w:rsidRPr="008D5D1B" w:rsidRDefault="002E77EF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32" w14:textId="77777777" w:rsidR="002E77EF" w:rsidRPr="008D5D1B" w:rsidRDefault="002E77EF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33B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334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335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36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Razvoj i nadogradnja portala i izrada više programa za edukaciju putem Interneta, objava relevantnih informacija na internetskoj stranici u svezi s financijskom pismenosti potrošača.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37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38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339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33A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2E77EF" w:rsidRPr="008D5D1B" w14:paraId="6D841343" w14:textId="77777777" w:rsidTr="0099019C">
        <w:trPr>
          <w:trHeight w:val="2426"/>
          <w:jc w:val="center"/>
        </w:trPr>
        <w:tc>
          <w:tcPr>
            <w:tcW w:w="209" w:type="pct"/>
            <w:vMerge/>
            <w:vAlign w:val="center"/>
          </w:tcPr>
          <w:p w14:paraId="6D84133C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3D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3E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Tiskanje i distribucija drugog izdanja besplatnog udžbenika »Moj novac, moja budućnost« namijenjenog učenicima srednje škole u skladu s kurikulumom Građanskog odgoja i obrazovanja.</w:t>
            </w:r>
          </w:p>
        </w:tc>
        <w:tc>
          <w:tcPr>
            <w:tcW w:w="1169" w:type="pct"/>
            <w:vMerge/>
            <w:vAlign w:val="center"/>
          </w:tcPr>
          <w:p w14:paraId="6D84133F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40" w14:textId="77777777" w:rsidR="002E77EF" w:rsidRPr="008D5D1B" w:rsidRDefault="002E77E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III. kvartal</w:t>
            </w:r>
          </w:p>
        </w:tc>
        <w:tc>
          <w:tcPr>
            <w:tcW w:w="604" w:type="pct"/>
            <w:vAlign w:val="center"/>
          </w:tcPr>
          <w:p w14:paraId="6D841341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Vlastita sredstva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MZO</w:t>
            </w:r>
          </w:p>
        </w:tc>
        <w:tc>
          <w:tcPr>
            <w:tcW w:w="825" w:type="pct"/>
            <w:vMerge/>
            <w:vAlign w:val="center"/>
          </w:tcPr>
          <w:p w14:paraId="6D841342" w14:textId="77777777" w:rsidR="002E77EF" w:rsidRPr="008D5D1B" w:rsidRDefault="002E77E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507133" w:rsidRPr="008D5D1B" w14:paraId="6D8413D7" w14:textId="77777777" w:rsidTr="00DA78E2">
        <w:trPr>
          <w:trHeight w:val="760"/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44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5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6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7.</w:t>
            </w:r>
          </w:p>
          <w:p w14:paraId="6D84134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E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4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1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E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5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0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1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2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3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4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5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6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7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8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9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A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B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C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D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E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6F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0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1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2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3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4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5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6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7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8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9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A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B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C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D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E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7F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0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1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2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3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4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5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6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7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8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9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A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E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8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1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9E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9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0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1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Suradnja s medijima i internetskim portalima.</w:t>
            </w:r>
          </w:p>
          <w:p w14:paraId="6D8413A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E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A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1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E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B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1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CA" w14:textId="77777777" w:rsidR="00507133" w:rsidRPr="008D5D1B" w:rsidRDefault="00507133" w:rsidP="00DA78E2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Ciljani istupi u medijima vezano uz projekt Financijske pismenosti u Republici Hrvatskoj i zajedničke aktivnosti svih institucija i osiguratelja.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CB" w14:textId="77777777" w:rsidR="00507133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  <w:p w14:paraId="6D8413CC" w14:textId="77777777" w:rsidR="00507133" w:rsidRPr="008D5D1B" w:rsidRDefault="00507133" w:rsidP="00D04DF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CD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CE" w14:textId="77777777" w:rsidR="00507133" w:rsidRPr="008D5D1B" w:rsidRDefault="00507133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CF" w14:textId="77777777" w:rsidR="00507133" w:rsidRPr="008D5D1B" w:rsidRDefault="00507133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HUO, ŠTEDOPIS,</w:t>
            </w:r>
          </w:p>
          <w:p w14:paraId="6D8413D0" w14:textId="77777777" w:rsidR="00507133" w:rsidRPr="008D5D1B" w:rsidRDefault="00507133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HANFA, HNB, </w:t>
            </w:r>
          </w:p>
          <w:p w14:paraId="6D8413D1" w14:textId="77777777" w:rsidR="00507133" w:rsidRPr="008D5D1B" w:rsidRDefault="00507133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UMFO, HGK, HUB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EFZG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– vlastita sredstva</w:t>
            </w:r>
          </w:p>
          <w:p w14:paraId="6D8413D2" w14:textId="77777777" w:rsidR="00507133" w:rsidRPr="008D5D1B" w:rsidRDefault="00507133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D3" w14:textId="77777777" w:rsidR="00507133" w:rsidRPr="008D5D1B" w:rsidRDefault="00507133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 – državni proračun</w:t>
            </w:r>
          </w:p>
          <w:p w14:paraId="6D8413D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D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D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istupa u medijima u svrhu informiranja potrošača i p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odizanja financijske pismenost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 potrošača te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njihovog aktivnog uključivanja u zaštitu i ostvarivanje svojih prava.</w:t>
            </w:r>
          </w:p>
        </w:tc>
      </w:tr>
      <w:tr w:rsidR="00507133" w:rsidRPr="008D5D1B" w14:paraId="6D8413E1" w14:textId="77777777" w:rsidTr="00D652EE">
        <w:trPr>
          <w:trHeight w:val="1520"/>
          <w:jc w:val="center"/>
        </w:trPr>
        <w:tc>
          <w:tcPr>
            <w:tcW w:w="209" w:type="pct"/>
            <w:vMerge/>
            <w:vAlign w:val="center"/>
            <w:hideMark/>
          </w:tcPr>
          <w:p w14:paraId="6D8413D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3D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DA" w14:textId="77777777" w:rsidR="00507133" w:rsidRPr="008D5D1B" w:rsidRDefault="00507133" w:rsidP="00BA2340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Medijska kampanja uz kreativno edukativn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radionice i predavanja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koj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će biti proveden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 2019. godini.</w:t>
            </w:r>
          </w:p>
        </w:tc>
        <w:tc>
          <w:tcPr>
            <w:tcW w:w="1169" w:type="pct"/>
            <w:vMerge/>
            <w:vAlign w:val="center"/>
            <w:hideMark/>
          </w:tcPr>
          <w:p w14:paraId="6D8413D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DC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I. i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II. kvartal</w:t>
            </w:r>
          </w:p>
        </w:tc>
        <w:tc>
          <w:tcPr>
            <w:tcW w:w="604" w:type="pct"/>
            <w:vMerge/>
            <w:vAlign w:val="center"/>
            <w:hideMark/>
          </w:tcPr>
          <w:p w14:paraId="6D8413D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DE" w14:textId="77777777" w:rsidR="00507133" w:rsidRDefault="00507133" w:rsidP="00D04DF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objavljenih članaka i/ili blogova.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</w:p>
          <w:p w14:paraId="6D8413DF" w14:textId="77777777" w:rsidR="00DC07DC" w:rsidRDefault="00DC07DC" w:rsidP="00D04DFE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3E0" w14:textId="77777777" w:rsidR="00DC07DC" w:rsidRPr="00DC07DC" w:rsidRDefault="00DC07DC" w:rsidP="00DC07DC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*</w:t>
            </w:r>
            <w:r w:rsidRPr="00DC07DC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dosada </w:t>
            </w:r>
            <w:r w:rsidR="009A522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napravljene objave na pet internetskih stranica vezano uz „Dan otvorenih vrata EFZG-a“.</w:t>
            </w:r>
          </w:p>
        </w:tc>
      </w:tr>
      <w:tr w:rsidR="00507133" w:rsidRPr="008D5D1B" w14:paraId="6D8413E9" w14:textId="77777777" w:rsidTr="0099019C">
        <w:trPr>
          <w:trHeight w:val="1185"/>
          <w:jc w:val="center"/>
        </w:trPr>
        <w:tc>
          <w:tcPr>
            <w:tcW w:w="209" w:type="pct"/>
            <w:vMerge/>
            <w:vAlign w:val="center"/>
          </w:tcPr>
          <w:p w14:paraId="6D8413E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E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E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Istupi u medijima na temu financijske pismenosti i informiranja potrošača.</w:t>
            </w:r>
          </w:p>
        </w:tc>
        <w:tc>
          <w:tcPr>
            <w:tcW w:w="1169" w:type="pct"/>
            <w:vAlign w:val="center"/>
          </w:tcPr>
          <w:p w14:paraId="6D8413E5" w14:textId="77777777" w:rsidR="00507133" w:rsidRPr="008D5D1B" w:rsidRDefault="00507133" w:rsidP="000D0D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E6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3E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E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0D0DF9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gostovanja na nacionalnoj i komercijalnim televizijama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  <w:r w:rsidRPr="000D0DF9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07133" w:rsidRPr="008D5D1B" w14:paraId="6D8413F1" w14:textId="77777777" w:rsidTr="00D158FF">
        <w:trPr>
          <w:trHeight w:val="1039"/>
          <w:jc w:val="center"/>
        </w:trPr>
        <w:tc>
          <w:tcPr>
            <w:tcW w:w="209" w:type="pct"/>
            <w:vMerge/>
            <w:vAlign w:val="center"/>
            <w:hideMark/>
          </w:tcPr>
          <w:p w14:paraId="6D8413E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3E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E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Sudjelovanje u medijima u cilju promicanja važnosti financijske pismenosti.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ED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EE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3E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F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gostovanja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na nacionalnoj i komercijalnim televizijama;  broj objavljenih i članaka u tiskanim i internetskim medijima u cilju podizanja financijske pismenosti potrošača.</w:t>
            </w:r>
          </w:p>
        </w:tc>
      </w:tr>
      <w:tr w:rsidR="00507133" w:rsidRPr="008D5D1B" w14:paraId="6D8413F9" w14:textId="77777777" w:rsidTr="0099019C">
        <w:trPr>
          <w:trHeight w:val="803"/>
          <w:jc w:val="center"/>
        </w:trPr>
        <w:tc>
          <w:tcPr>
            <w:tcW w:w="209" w:type="pct"/>
            <w:vMerge/>
            <w:vAlign w:val="center"/>
          </w:tcPr>
          <w:p w14:paraId="6D8413F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3F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F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F5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F6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3F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3F8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507133" w:rsidRPr="008D5D1B" w14:paraId="6D841401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3F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3F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FC" w14:textId="77777777" w:rsidR="00507133" w:rsidRPr="008D5D1B" w:rsidRDefault="00507133" w:rsidP="00C650B7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Suradnja s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medijima i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portal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ima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putem kreiranja nagradnih ig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ra i pitalica te druge moguće aktivnosti za učenike srednjih škola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3FD" w14:textId="77777777" w:rsidR="00507133" w:rsidRPr="008D5D1B" w:rsidRDefault="00507133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</w:t>
            </w:r>
          </w:p>
        </w:tc>
        <w:tc>
          <w:tcPr>
            <w:tcW w:w="475" w:type="pct"/>
            <w:vMerge/>
            <w:vAlign w:val="center"/>
            <w:hideMark/>
          </w:tcPr>
          <w:p w14:paraId="6D8413FE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3F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0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provedenih aktivnosti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broj sudionika.</w:t>
            </w:r>
          </w:p>
        </w:tc>
      </w:tr>
      <w:tr w:rsidR="00507133" w:rsidRPr="008D5D1B" w14:paraId="6D84140A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40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0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0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Sudjelovanje u medijima u cilju promicanja važnosti financijske pismenosti.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05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</w:tc>
        <w:tc>
          <w:tcPr>
            <w:tcW w:w="475" w:type="pct"/>
            <w:vMerge/>
            <w:vAlign w:val="center"/>
            <w:hideMark/>
          </w:tcPr>
          <w:p w14:paraId="6D84140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40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08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color w:val="666666"/>
                <w:sz w:val="20"/>
                <w:szCs w:val="20"/>
                <w:lang w:eastAsia="hr-HR"/>
              </w:rPr>
              <w:t xml:space="preserve">Broj istupa u medijima u svrhu informiranja potrošača i </w:t>
            </w:r>
            <w:r w:rsidRPr="008D5D1B">
              <w:rPr>
                <w:rFonts w:ascii="Arial Narrow" w:eastAsia="Times New Roman" w:hAnsi="Arial Narrow"/>
                <w:color w:val="666666"/>
                <w:sz w:val="20"/>
                <w:szCs w:val="20"/>
                <w:lang w:eastAsia="hr-HR"/>
              </w:rPr>
              <w:t>podizanja fi</w:t>
            </w:r>
            <w:r>
              <w:rPr>
                <w:rFonts w:ascii="Arial Narrow" w:eastAsia="Times New Roman" w:hAnsi="Arial Narrow"/>
                <w:color w:val="666666"/>
                <w:sz w:val="20"/>
                <w:szCs w:val="20"/>
                <w:lang w:eastAsia="hr-HR"/>
              </w:rPr>
              <w:t>nancijske pismenosti potrošača te</w:t>
            </w:r>
            <w:r w:rsidRPr="008D5D1B">
              <w:rPr>
                <w:rFonts w:ascii="Arial Narrow" w:eastAsia="Times New Roman" w:hAnsi="Arial Narrow"/>
                <w:color w:val="666666"/>
                <w:sz w:val="20"/>
                <w:szCs w:val="20"/>
                <w:lang w:eastAsia="hr-HR"/>
              </w:rPr>
              <w:t xml:space="preserve"> njihovog aktivnog uključivanja u zaštitu i ostvarivanje svojih prava.</w:t>
            </w:r>
          </w:p>
          <w:p w14:paraId="6D84140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507133" w:rsidRPr="008D5D1B" w14:paraId="6D841412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40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0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0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Sudjelovanje u medijima i odgovaranje na upite koji imaju za cilj financijsku edukaciju javnosti i potrošača iz djelokruga rada središnje banke.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0E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</w:tc>
        <w:tc>
          <w:tcPr>
            <w:tcW w:w="475" w:type="pct"/>
            <w:vMerge/>
            <w:vAlign w:val="center"/>
            <w:hideMark/>
          </w:tcPr>
          <w:p w14:paraId="6D84140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41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1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go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stovanja na nacionalnoj i komercijalnim televizijama, broj objavljenih članaka i prenošenje članaka u cilju podizanja financijske pismenosti potrošača.</w:t>
            </w:r>
          </w:p>
        </w:tc>
      </w:tr>
      <w:tr w:rsidR="00507133" w:rsidRPr="008D5D1B" w14:paraId="6D84141E" w14:textId="77777777" w:rsidTr="00507133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5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Suradnja s medijima po pitanju svih relevantnih tema u svezi sa zajedničkim </w:t>
            </w:r>
          </w:p>
          <w:p w14:paraId="6D84141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aktivnostima mirovinskih društava.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7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8" w14:textId="77777777" w:rsidR="00507133" w:rsidRDefault="00507133" w:rsidP="0050713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19" w14:textId="77777777" w:rsidR="00507133" w:rsidRDefault="00507133" w:rsidP="005071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1A" w14:textId="77777777" w:rsidR="00507133" w:rsidRDefault="00507133" w:rsidP="005071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III. i IV. kvartal</w:t>
            </w:r>
          </w:p>
          <w:p w14:paraId="6D84141B" w14:textId="77777777" w:rsidR="00507133" w:rsidRPr="007E6C14" w:rsidRDefault="00507133" w:rsidP="0050713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1D" w14:textId="77777777" w:rsidR="00507133" w:rsidRPr="008D5D1B" w:rsidRDefault="00507133" w:rsidP="007468E0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provedenih aktivnosti. </w:t>
            </w:r>
          </w:p>
        </w:tc>
      </w:tr>
      <w:tr w:rsidR="00507133" w:rsidRPr="008D5D1B" w14:paraId="6D841428" w14:textId="77777777" w:rsidTr="0099019C">
        <w:trPr>
          <w:trHeight w:val="1147"/>
          <w:jc w:val="center"/>
        </w:trPr>
        <w:tc>
          <w:tcPr>
            <w:tcW w:w="209" w:type="pct"/>
            <w:vMerge/>
            <w:vAlign w:val="center"/>
            <w:hideMark/>
          </w:tcPr>
          <w:p w14:paraId="6D84141F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2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21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Medijska kampanja u tiskanim medijima i na Internetu – edukacija o važnosti mirovinske štednje te osnovnim pojmovima.</w:t>
            </w:r>
          </w:p>
        </w:tc>
        <w:tc>
          <w:tcPr>
            <w:tcW w:w="1169" w:type="pct"/>
            <w:vMerge/>
            <w:vAlign w:val="center"/>
            <w:hideMark/>
          </w:tcPr>
          <w:p w14:paraId="6D841422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23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42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2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Provedena k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ampanja financijske pismenosti za osnovne škole - Projekt „MAFIN“.</w:t>
            </w:r>
          </w:p>
          <w:p w14:paraId="6D841426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27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507133" w:rsidRPr="008D5D1B" w14:paraId="6D841432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42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2A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2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Informiranje potrošača i poslovnih subjekata kroz suradnju s medijima putem odgovora na upite, stručnih članaka i drugo.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2C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2D" w14:textId="77777777" w:rsidR="00507133" w:rsidRDefault="00507133" w:rsidP="005071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2E" w14:textId="77777777" w:rsidR="00507133" w:rsidRDefault="00507133" w:rsidP="005071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  <w:p w14:paraId="6D84142F" w14:textId="77777777" w:rsidR="00507133" w:rsidRPr="008D5D1B" w:rsidRDefault="00507133" w:rsidP="005071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43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31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odgovora na upit, broj objavljenih stručnih članaka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</w:tr>
      <w:tr w:rsidR="00507133" w:rsidRPr="008D5D1B" w14:paraId="6D84143A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433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34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35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avanjem redovnih brifinga za medije, HUB će </w:t>
            </w:r>
            <w:r w:rsidRPr="00094CB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nastaviti redovito educiranje i informiranje novinara koji prate gospodarstvo, financije i slična područja. Također, kroz objave za medije i odgovore na upite se planira nastavak razvijanja informiranja medija.  Održavat će se redovna komunikac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ija sa zainteresiranom javnošću, HUB a</w:t>
            </w:r>
            <w:r w:rsidRPr="00094CB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nalize u kojima se obrađuju aktualne teme iz područja makroekonomije, ba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nkarstva i financija te bri</w:t>
            </w:r>
            <w:r w:rsidRPr="00094CB5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finzi za  medije i odgovori na upite iz područja bankarstva (npr. kamatne stope, uvođenje eura, analiza blokiranih građana).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36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</w:tc>
        <w:tc>
          <w:tcPr>
            <w:tcW w:w="475" w:type="pct"/>
            <w:vAlign w:val="center"/>
            <w:hideMark/>
          </w:tcPr>
          <w:p w14:paraId="6D841437" w14:textId="77777777" w:rsidR="00507133" w:rsidRPr="008D5D1B" w:rsidRDefault="00507133" w:rsidP="0050713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438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39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objava/upita i brifinga.</w:t>
            </w:r>
          </w:p>
        </w:tc>
      </w:tr>
      <w:tr w:rsidR="00507133" w:rsidRPr="008D5D1B" w14:paraId="6D841442" w14:textId="77777777" w:rsidTr="0099019C">
        <w:trPr>
          <w:jc w:val="center"/>
        </w:trPr>
        <w:tc>
          <w:tcPr>
            <w:tcW w:w="209" w:type="pct"/>
            <w:vMerge/>
            <w:vAlign w:val="center"/>
          </w:tcPr>
          <w:p w14:paraId="6D84143B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Align w:val="center"/>
          </w:tcPr>
          <w:p w14:paraId="6D84143C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3D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 suradnji s medijskim partnerom će organizirati medijsku kampanju te će u sklopu nje objavljivati teme koje su temelj za informiranje korisnika kredita (podizanje razine informiranosti o načinu formiranja kamatnih stopa, utjecaj kamatnih stopa na kretanje iznosa anuiteta po kreditima, itd.) i  teme vezane uz budućnost digitalnog plaćanja s ciljem podizanja financijske pismenosti građana.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3E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</w:tc>
        <w:tc>
          <w:tcPr>
            <w:tcW w:w="475" w:type="pct"/>
            <w:vAlign w:val="center"/>
          </w:tcPr>
          <w:p w14:paraId="6D84143F" w14:textId="77777777" w:rsidR="00507133" w:rsidRPr="008D5D1B" w:rsidRDefault="00507133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Align w:val="center"/>
          </w:tcPr>
          <w:p w14:paraId="6D841440" w14:textId="77777777" w:rsidR="00507133" w:rsidRPr="008D5D1B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41" w14:textId="77777777" w:rsidR="00507133" w:rsidRDefault="00507133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objava.</w:t>
            </w:r>
          </w:p>
        </w:tc>
      </w:tr>
      <w:tr w:rsidR="0099019C" w:rsidRPr="008D5D1B" w14:paraId="6D841460" w14:textId="77777777" w:rsidTr="0099019C">
        <w:trPr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43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44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Obilježavanje međunarodnih događaja značajnih za unaprjeđenje financijske pismenosti potrošača.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45" w14:textId="77777777" w:rsidR="0099019C" w:rsidRPr="008D5D1B" w:rsidRDefault="0099019C" w:rsidP="00064C62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Obilježavanje </w:t>
            </w:r>
            <w:r w:rsidR="00064C62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UN globalnog tjedna </w:t>
            </w:r>
            <w:r w:rsidR="003E436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cestovne</w:t>
            </w:r>
            <w:r w:rsidR="00064C62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sigurnosti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 Svjetskog dana štednje u suradnji s društvima za osiguranje.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46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47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II. i IV. kvartal</w:t>
            </w: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48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49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4A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4B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4C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4D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4E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4F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0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1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MFIN,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MZO, AZOO – državni proračun</w:t>
            </w:r>
          </w:p>
          <w:p w14:paraId="6D841452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3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HNB, HANFA, HGK, HUO, HUB, UMFO, ZSE, HUP,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EFZG,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 – vlastita sredstva</w:t>
            </w:r>
          </w:p>
        </w:tc>
        <w:tc>
          <w:tcPr>
            <w:tcW w:w="82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54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Obilježen </w:t>
            </w:r>
            <w:r w:rsidR="00064C62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UN globalni tjedan cestovne sigurnosti. </w:t>
            </w:r>
          </w:p>
          <w:p w14:paraId="6D841455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6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Obilježen Svjetski dan štednje.</w:t>
            </w:r>
          </w:p>
          <w:p w14:paraId="6D841457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8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Obilježen Svjetski dan investicijskih fondova.</w:t>
            </w:r>
          </w:p>
          <w:p w14:paraId="6D841459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A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Obilježen Svjetski dan kreditnih unija.</w:t>
            </w:r>
          </w:p>
          <w:p w14:paraId="6D84145B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C" w14:textId="77777777" w:rsidR="0099019C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Obilježen Europski i Svjetski tjedan novca</w:t>
            </w:r>
            <w:r w:rsidR="009A522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u razdoblju od 25. -29. ožujka 2019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  <w:r w:rsidR="009A5226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godine</w:t>
            </w:r>
          </w:p>
          <w:p w14:paraId="6D84145D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5E" w14:textId="77777777" w:rsidR="0099019C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i vrsta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događanja na obilježenim međunarodnim događajima, broj polaznika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/sudionika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broj pregleda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te doseg na društvenim mrežama i dr. relevantni pokazatelji.</w:t>
            </w:r>
          </w:p>
          <w:p w14:paraId="6D84145F" w14:textId="77777777" w:rsidR="0099019C" w:rsidRPr="008D5D1B" w:rsidRDefault="0099019C" w:rsidP="000F3446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8D5D1B" w14:paraId="6D841468" w14:textId="77777777" w:rsidTr="0099019C">
        <w:trPr>
          <w:trHeight w:val="405"/>
          <w:jc w:val="center"/>
        </w:trPr>
        <w:tc>
          <w:tcPr>
            <w:tcW w:w="209" w:type="pct"/>
            <w:vMerge/>
            <w:vAlign w:val="center"/>
            <w:hideMark/>
          </w:tcPr>
          <w:p w14:paraId="6D841461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62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63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Obilježavanje Svjetskog dana investicijskih fondova. 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64" w14:textId="77777777" w:rsidR="0099019C" w:rsidRPr="008D5D1B" w:rsidRDefault="0099019C" w:rsidP="00342C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65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II. kvartal</w:t>
            </w:r>
          </w:p>
        </w:tc>
        <w:tc>
          <w:tcPr>
            <w:tcW w:w="604" w:type="pct"/>
            <w:vMerge/>
            <w:vAlign w:val="center"/>
            <w:hideMark/>
          </w:tcPr>
          <w:p w14:paraId="6D84146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46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8D5D1B" w14:paraId="6D841470" w14:textId="77777777" w:rsidTr="0099019C">
        <w:trPr>
          <w:trHeight w:val="285"/>
          <w:jc w:val="center"/>
        </w:trPr>
        <w:tc>
          <w:tcPr>
            <w:tcW w:w="209" w:type="pct"/>
            <w:vMerge/>
            <w:vAlign w:val="center"/>
          </w:tcPr>
          <w:p w14:paraId="6D84146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46A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6B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6C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6D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46E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46F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D158FF" w:rsidRPr="008D5D1B" w14:paraId="6D84147A" w14:textId="77777777" w:rsidTr="00D158FF">
        <w:trPr>
          <w:trHeight w:val="1377"/>
          <w:jc w:val="center"/>
        </w:trPr>
        <w:tc>
          <w:tcPr>
            <w:tcW w:w="209" w:type="pct"/>
            <w:vMerge/>
            <w:vAlign w:val="center"/>
            <w:hideMark/>
          </w:tcPr>
          <w:p w14:paraId="6D841471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72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73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 će</w:t>
            </w:r>
            <w:r w:rsidRPr="00047253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predstaviti analizu trendova štednje u Hrvatskoj te organizirati događaj/konferenciju povodom obilježavanja Svjetskog dana štednje.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74" w14:textId="77777777" w:rsidR="00D158FF" w:rsidRDefault="00D158F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75" w14:textId="77777777" w:rsidR="00D158FF" w:rsidRDefault="00D158F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  <w:p w14:paraId="6D841476" w14:textId="77777777" w:rsidR="00D158FF" w:rsidRPr="008D5D1B" w:rsidRDefault="00D158FF" w:rsidP="00D158FF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77" w14:textId="77777777" w:rsidR="00D158FF" w:rsidRPr="008D5D1B" w:rsidRDefault="00D158FF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IV. kvartal</w:t>
            </w:r>
          </w:p>
        </w:tc>
        <w:tc>
          <w:tcPr>
            <w:tcW w:w="604" w:type="pct"/>
            <w:vMerge/>
            <w:vAlign w:val="center"/>
            <w:hideMark/>
          </w:tcPr>
          <w:p w14:paraId="6D841478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479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D158FF" w:rsidRPr="008D5D1B" w14:paraId="6D841488" w14:textId="77777777" w:rsidTr="00D158FF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47B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7C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7D" w14:textId="77777777" w:rsidR="00D158FF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Obilježavanje Svjetskog dana štednje.</w:t>
            </w:r>
          </w:p>
          <w:p w14:paraId="6D84147E" w14:textId="77777777" w:rsidR="00D158FF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7F" w14:textId="77777777" w:rsidR="00D158FF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80" w14:textId="77777777" w:rsidR="00D158FF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81" w14:textId="77777777" w:rsidR="00D158FF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82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D841483" w14:textId="77777777" w:rsidR="00D158FF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84" w14:textId="77777777" w:rsidR="00D158FF" w:rsidRPr="008D5D1B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</w:tc>
        <w:tc>
          <w:tcPr>
            <w:tcW w:w="475" w:type="pct"/>
            <w:vMerge/>
            <w:vAlign w:val="center"/>
            <w:hideMark/>
          </w:tcPr>
          <w:p w14:paraId="6D841485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486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487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D158FF" w:rsidRPr="008D5D1B" w14:paraId="6D841491" w14:textId="77777777" w:rsidTr="00D158FF">
        <w:trPr>
          <w:jc w:val="center"/>
        </w:trPr>
        <w:tc>
          <w:tcPr>
            <w:tcW w:w="209" w:type="pct"/>
            <w:vMerge/>
            <w:vAlign w:val="center"/>
          </w:tcPr>
          <w:p w14:paraId="6D841489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48A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8B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D84148C" w14:textId="77777777" w:rsidR="00D158FF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8D" w14:textId="77777777" w:rsidR="00D158FF" w:rsidRPr="008D5D1B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vMerge/>
            <w:vAlign w:val="center"/>
          </w:tcPr>
          <w:p w14:paraId="6D84148E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48F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490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D158FF" w:rsidRPr="008D5D1B" w14:paraId="6D84149A" w14:textId="77777777" w:rsidTr="00D158FF">
        <w:trPr>
          <w:trHeight w:val="308"/>
          <w:jc w:val="center"/>
        </w:trPr>
        <w:tc>
          <w:tcPr>
            <w:tcW w:w="209" w:type="pct"/>
            <w:vMerge/>
            <w:vAlign w:val="center"/>
          </w:tcPr>
          <w:p w14:paraId="6D841492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493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94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D841495" w14:textId="77777777" w:rsidR="00D158FF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96" w14:textId="77777777" w:rsidR="00D158FF" w:rsidRPr="008D5D1B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vMerge/>
            <w:vAlign w:val="center"/>
          </w:tcPr>
          <w:p w14:paraId="6D841497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498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499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D158FF" w:rsidRPr="008D5D1B" w14:paraId="6D8414A3" w14:textId="77777777" w:rsidTr="00D158FF">
        <w:trPr>
          <w:trHeight w:val="313"/>
          <w:jc w:val="center"/>
        </w:trPr>
        <w:tc>
          <w:tcPr>
            <w:tcW w:w="209" w:type="pct"/>
            <w:vMerge/>
            <w:vAlign w:val="center"/>
          </w:tcPr>
          <w:p w14:paraId="6D84149B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49C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9D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49E" w14:textId="77777777" w:rsidR="00D158FF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9F" w14:textId="77777777" w:rsidR="00D158FF" w:rsidRPr="008D5D1B" w:rsidRDefault="00D158FF" w:rsidP="00D158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</w:tc>
        <w:tc>
          <w:tcPr>
            <w:tcW w:w="475" w:type="pct"/>
            <w:vMerge/>
            <w:vAlign w:val="center"/>
          </w:tcPr>
          <w:p w14:paraId="6D8414A0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</w:tcPr>
          <w:p w14:paraId="6D8414A1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</w:tcPr>
          <w:p w14:paraId="6D8414A2" w14:textId="77777777" w:rsidR="00D158FF" w:rsidRPr="008D5D1B" w:rsidRDefault="00D158F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8D5D1B" w14:paraId="6D8414AB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4A4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4A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A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Obilježavanje Svjetskog dana kreditnih unija.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A7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</w:tc>
        <w:tc>
          <w:tcPr>
            <w:tcW w:w="475" w:type="pct"/>
            <w:vMerge/>
            <w:vAlign w:val="center"/>
            <w:hideMark/>
          </w:tcPr>
          <w:p w14:paraId="6D8414A8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4A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4AA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8D5D1B" w14:paraId="6D8414C1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AC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AD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AE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Obilježavanje Europskog i Svjetskog tjedna novca.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AF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MINGPO</w:t>
            </w:r>
          </w:p>
          <w:p w14:paraId="6D8414B0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MZO</w:t>
            </w:r>
          </w:p>
          <w:p w14:paraId="6D8414B1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MFIN</w:t>
            </w:r>
          </w:p>
          <w:p w14:paraId="6D8414B2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</w:t>
            </w:r>
          </w:p>
          <w:p w14:paraId="6D8414B3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HNB</w:t>
            </w:r>
          </w:p>
          <w:p w14:paraId="6D8414B4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HANFA</w:t>
            </w:r>
          </w:p>
          <w:p w14:paraId="6D8414B5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  <w:p w14:paraId="6D8414B6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  <w:p w14:paraId="6D8414B7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  <w:p w14:paraId="6D8414B8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14B9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  <w:p w14:paraId="6D8414BA" w14:textId="77777777" w:rsidR="0099019C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ZSE</w:t>
            </w:r>
          </w:p>
          <w:p w14:paraId="6D8414BB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  <w:p w14:paraId="6D8414BC" w14:textId="77777777" w:rsidR="0099019C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  <w:p w14:paraId="6D8414BD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BE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I. kvartal</w:t>
            </w:r>
          </w:p>
        </w:tc>
        <w:tc>
          <w:tcPr>
            <w:tcW w:w="604" w:type="pct"/>
            <w:vMerge/>
            <w:vAlign w:val="center"/>
            <w:hideMark/>
          </w:tcPr>
          <w:p w14:paraId="6D8414BF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4C0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99019C" w:rsidRPr="008D5D1B" w14:paraId="6D8414CE" w14:textId="77777777" w:rsidTr="0099019C">
        <w:trPr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2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3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Informiranje potrošača i poslovnih subjekata o financijskim uslugama u cilju podizanja razine financijske pismenosti.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4" w14:textId="77777777" w:rsidR="0099019C" w:rsidRPr="008D5D1B" w:rsidRDefault="0065725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Provođenje e</w:t>
            </w:r>
            <w:r w:rsidR="0099019C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dukacija i informiranje potrošača i poslovnih subjekata o različitim financijskim proizvodima i uslugama (osiguranje, bankarstvo, leasing, faktoring, investicijski fondovi, mirovinski fondovi, tržište kapitala i drugo).</w:t>
            </w:r>
          </w:p>
        </w:tc>
        <w:tc>
          <w:tcPr>
            <w:tcW w:w="116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5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</w:t>
            </w:r>
          </w:p>
          <w:p w14:paraId="6D8414C6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C8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  <w:p w14:paraId="6D8414C9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A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CB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CC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HGK, HUB, HUP, ŠTEDOPIS, – vlastita sredstva</w:t>
            </w: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D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provedenih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edukacija i drugih oblika informiranja te broj sudionika u cilju podizanja razine financijske pismenosti potrošača i poslovnih subjekata.</w:t>
            </w:r>
          </w:p>
        </w:tc>
      </w:tr>
      <w:tr w:rsidR="0099019C" w:rsidRPr="008D5D1B" w14:paraId="6D8414D6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CF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0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1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Održavanje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radionica i drugih oblika informiranja o SEPA platnim uslugama u suradnji s ostalim članovima hrvatskog SEPA foruma</w:t>
            </w:r>
            <w:r w:rsidRPr="008D5D1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(HUB, HNB, FINA, MFIN). Ažuriranje web stanice www.sepa.hr te odgovori na upite upućeni put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em kontakt adrese info@sepa.hr</w:t>
            </w:r>
          </w:p>
        </w:tc>
        <w:tc>
          <w:tcPr>
            <w:tcW w:w="116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2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3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4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5" w14:textId="77777777" w:rsidR="0099019C" w:rsidRPr="008D5D1B" w:rsidRDefault="0065725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održanih</w:t>
            </w:r>
            <w:r w:rsidR="0099019C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radionica i drugih oblika informiranja, redovito održavanje i ažuriranje www.sepa.hr te objave na www.hgk.hr</w:t>
            </w:r>
          </w:p>
        </w:tc>
      </w:tr>
      <w:tr w:rsidR="0099019C" w:rsidRPr="008D5D1B" w14:paraId="6D8414DE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8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9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Informiranja članova HUP-a o važnosti financijske edukacije.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A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B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C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D" w14:textId="77777777" w:rsidR="0099019C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upućene elektronske pošte članovima sa informativnim tekstovima o važnosti financijske edukacije za članove iz nefinancijskog sektora.</w:t>
            </w:r>
            <w:r w:rsidR="0065725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</w:tr>
      <w:tr w:rsidR="0099019C" w:rsidRPr="008D5D1B" w14:paraId="6D8414E8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DF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E0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E1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Informiranje  javnosti  iz p</w:t>
            </w:r>
            <w:r w:rsidR="0065725F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odručja financijske pismenosti.</w:t>
            </w:r>
          </w:p>
          <w:p w14:paraId="6D8414E2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Distribucija informativnih tekstova (newslettera).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E3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E4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E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E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objavljenih priopćenja. </w:t>
            </w:r>
          </w:p>
          <w:p w14:paraId="6D8414E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distribuiranih informativnih tekstova (newslettera).</w:t>
            </w:r>
          </w:p>
        </w:tc>
      </w:tr>
      <w:tr w:rsidR="00B21BA8" w:rsidRPr="008D5D1B" w14:paraId="6D841544" w14:textId="77777777" w:rsidTr="00744011">
        <w:trPr>
          <w:trHeight w:val="659"/>
          <w:jc w:val="center"/>
        </w:trPr>
        <w:tc>
          <w:tcPr>
            <w:tcW w:w="209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4E9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EA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EB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EC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ED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EE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EF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F0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F1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F2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F3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F4" w14:textId="77777777" w:rsidR="00744011" w:rsidRDefault="00744011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4F5" w14:textId="77777777" w:rsidR="00B21BA8" w:rsidRDefault="00B21BA8" w:rsidP="007440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10.</w:t>
            </w:r>
          </w:p>
          <w:p w14:paraId="6D8414F6" w14:textId="77777777" w:rsidR="00B21BA8" w:rsidRP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7" w14:textId="77777777" w:rsidR="00B21BA8" w:rsidRP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8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9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A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B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C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D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E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4FF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00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01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02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03" w14:textId="77777777" w:rsid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04" w14:textId="77777777" w:rsidR="00B21BA8" w:rsidRPr="00B21BA8" w:rsidRDefault="00B21BA8" w:rsidP="0074401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05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6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7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8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9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A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B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C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D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E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0F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0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Provođenje drugih aktivnosti usmjerenih na podizanje razine financijske pismenosti.</w:t>
            </w:r>
          </w:p>
          <w:p w14:paraId="6D841511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2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3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4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5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6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7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8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9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A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B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C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D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E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1F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0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1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2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3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4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5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6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7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8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29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Provođenje promotivne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ka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mpanje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o funkcioniranju OMF-a i DMF-a.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2A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2B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II. i III. kvartal</w:t>
            </w:r>
          </w:p>
        </w:tc>
        <w:tc>
          <w:tcPr>
            <w:tcW w:w="604" w:type="pct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2C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D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E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2F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0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1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2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3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4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5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6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37" w14:textId="77777777" w:rsidR="00B21BA8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UMFO, HUO, FINA, HUB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HUP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– vlastita sredstva</w:t>
            </w:r>
          </w:p>
          <w:p w14:paraId="6D841538" w14:textId="77777777" w:rsidR="00B21BA8" w:rsidRP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39" w14:textId="77777777" w:rsidR="00B21BA8" w:rsidRP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3A" w14:textId="77777777" w:rsidR="00B21BA8" w:rsidRP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3B" w14:textId="77777777" w:rsid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3C" w14:textId="77777777" w:rsidR="00B21BA8" w:rsidRP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3D" w14:textId="77777777" w:rsid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3E" w14:textId="77777777" w:rsid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3F" w14:textId="77777777" w:rsid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40" w14:textId="77777777" w:rsid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41" w14:textId="77777777" w:rsid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6D841542" w14:textId="77777777" w:rsidR="00B21BA8" w:rsidRPr="00B21BA8" w:rsidRDefault="00B21BA8" w:rsidP="00B21BA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3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aktivnosti usmjerenih na podizanje razine financijske pismenosti.</w:t>
            </w:r>
            <w:r w:rsidRPr="008D5D1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Provedena mini kampanja o  DMF-u.</w:t>
            </w:r>
          </w:p>
        </w:tc>
      </w:tr>
      <w:tr w:rsidR="00B21BA8" w:rsidRPr="008D5D1B" w14:paraId="6D84154C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5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6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7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Promicanje financijske pismenosti i putem drugih aktivnosti u suradnji s društvima za osiguranje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8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HUO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9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A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4B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Aktivnosti  povezane s poticanjem svijesti o važnosti financijske edukacije iz područja osiguranja.</w:t>
            </w:r>
          </w:p>
        </w:tc>
      </w:tr>
      <w:tr w:rsidR="00B21BA8" w:rsidRPr="008D5D1B" w14:paraId="6D841556" w14:textId="77777777" w:rsidTr="0099019C">
        <w:trPr>
          <w:jc w:val="center"/>
        </w:trPr>
        <w:tc>
          <w:tcPr>
            <w:tcW w:w="209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4D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4E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4F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Nastavak projekta „Reklame bez granica“-sudjelovanje na Noći muzeja 2019. (Gradski muzej Koprivnica) sa 3D digitalnim sadržajima.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50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HIFE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51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I. kvartal</w:t>
            </w:r>
          </w:p>
        </w:tc>
        <w:tc>
          <w:tcPr>
            <w:tcW w:w="604" w:type="pct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52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53" w14:textId="77777777" w:rsidR="00413D5B" w:rsidRDefault="00413D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Sudjelovanje na noći muzeja.</w:t>
            </w:r>
          </w:p>
          <w:p w14:paraId="6D841554" w14:textId="77777777" w:rsidR="00413D5B" w:rsidRPr="008D5D1B" w:rsidRDefault="00413D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*HIFE je na noći muzeja 1. veljače 2019. godine sudjelovao.Također, virtualnom izložbom „Podravka-industrijska baština“ a koju je snimio HIFE otvorena je noć muzeja u Koprivnici. Broj posjetitelja noći muzeja u Koprivnici: 2.323.</w:t>
            </w:r>
          </w:p>
          <w:p w14:paraId="6D841555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21BA8" w:rsidRPr="008D5D1B" w14:paraId="6D841564" w14:textId="77777777" w:rsidTr="0099019C">
        <w:trPr>
          <w:jc w:val="center"/>
        </w:trPr>
        <w:tc>
          <w:tcPr>
            <w:tcW w:w="209" w:type="pct"/>
            <w:vMerge/>
            <w:vAlign w:val="center"/>
            <w:hideMark/>
          </w:tcPr>
          <w:p w14:paraId="6D841557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558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59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Sudjelovanje zaposlenika FINA-e kao posrednika temeljem provođenja Zakona o stečaju potrošača.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5A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FINA</w:t>
            </w:r>
          </w:p>
        </w:tc>
        <w:tc>
          <w:tcPr>
            <w:tcW w:w="475" w:type="pct"/>
            <w:vMerge w:val="restart"/>
            <w:vAlign w:val="center"/>
            <w:hideMark/>
          </w:tcPr>
          <w:p w14:paraId="6D84155B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  <w:hideMark/>
          </w:tcPr>
          <w:p w14:paraId="6D84155C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 w:val="restart"/>
            <w:vAlign w:val="center"/>
            <w:hideMark/>
          </w:tcPr>
          <w:p w14:paraId="6D84155D" w14:textId="77777777" w:rsidR="00413D5B" w:rsidRDefault="00413D5B" w:rsidP="00413D5B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413D5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Broj građana koji su inicirali postupak, a kojima su zaposlenici FINA-e u ulozi posrednika pomogli </w:t>
            </w:r>
          </w:p>
          <w:p w14:paraId="6D84155E" w14:textId="77777777" w:rsidR="00413D5B" w:rsidRDefault="00413D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da u dijelu koji prethodi sudskom postupku, utvrde svoje obveze i pokušaju sa svojim vjerovnicima postići izvansudsku nagodbu.</w:t>
            </w:r>
          </w:p>
          <w:p w14:paraId="6D84155F" w14:textId="77777777" w:rsidR="00413D5B" w:rsidRDefault="00413D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60" w14:textId="77777777" w:rsidR="00413D5B" w:rsidRPr="008D5D1B" w:rsidRDefault="00413D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Ažuriran sadržaj na internetskoj stranici sigurnostnainternetu.hr.</w:t>
            </w:r>
          </w:p>
          <w:p w14:paraId="6D841561" w14:textId="77777777" w:rsidR="00413D5B" w:rsidRPr="008D5D1B" w:rsidRDefault="00413D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posjetitelja ili broj upita medija temeljem sadržaja na stranici sigurnostnainternetu.hr.</w:t>
            </w:r>
          </w:p>
          <w:p w14:paraId="6D841562" w14:textId="77777777" w:rsidR="00413D5B" w:rsidRPr="008D5D1B" w:rsidRDefault="00413D5B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  <w:p w14:paraId="6D841563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21BA8" w:rsidRPr="008D5D1B" w14:paraId="6D84156C" w14:textId="77777777" w:rsidTr="0065725F">
        <w:trPr>
          <w:trHeight w:val="477"/>
          <w:jc w:val="center"/>
        </w:trPr>
        <w:tc>
          <w:tcPr>
            <w:tcW w:w="209" w:type="pct"/>
            <w:vMerge/>
            <w:vAlign w:val="center"/>
            <w:hideMark/>
          </w:tcPr>
          <w:p w14:paraId="6D841565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6D841566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67" w14:textId="77777777" w:rsidR="00B21BA8" w:rsidRPr="008D5D1B" w:rsidRDefault="00B21BA8" w:rsidP="00352239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Ažuriranje sadržaja na internetskoj 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stranici sigurnostnainternetu.hr., a koja je integrirana u novu web stranicu HUB-a kako bi se na taj način povećao doseg objava koje se pripremaju za stranicu, te punjenje sadržajem s aktualnim temama iz tog područja. </w:t>
            </w:r>
            <w:r w:rsidRPr="00352239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 će u suradnji s vanjskim i medijskim partnerima organizirati kampanju koja ima za cilj podizati svijest građana o rizicima i mog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ućim prijetnjama prilikom</w:t>
            </w:r>
            <w:r w:rsidRPr="00352239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kupovine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putem Interneta.</w:t>
            </w:r>
            <w:r w:rsidRPr="00352239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68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HUB</w:t>
            </w:r>
          </w:p>
        </w:tc>
        <w:tc>
          <w:tcPr>
            <w:tcW w:w="475" w:type="pct"/>
            <w:vMerge/>
            <w:vAlign w:val="center"/>
            <w:hideMark/>
          </w:tcPr>
          <w:p w14:paraId="6D841569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604" w:type="pct"/>
            <w:vMerge/>
            <w:vAlign w:val="center"/>
            <w:hideMark/>
          </w:tcPr>
          <w:p w14:paraId="6D84156A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D84156B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  <w:tr w:rsidR="00B21BA8" w:rsidRPr="008D5D1B" w14:paraId="6D841574" w14:textId="77777777" w:rsidTr="00DA78E2">
        <w:trPr>
          <w:trHeight w:val="1368"/>
          <w:jc w:val="center"/>
        </w:trPr>
        <w:tc>
          <w:tcPr>
            <w:tcW w:w="209" w:type="pct"/>
            <w:vMerge/>
            <w:vAlign w:val="center"/>
          </w:tcPr>
          <w:p w14:paraId="6D84156D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03" w:type="pct"/>
            <w:vMerge/>
            <w:vAlign w:val="center"/>
          </w:tcPr>
          <w:p w14:paraId="6D84156E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6F" w14:textId="77777777" w:rsidR="00B21BA8" w:rsidRPr="00DA78E2" w:rsidRDefault="00B21BA8" w:rsidP="00DA78E2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B21BA8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Inicijativa privatnog sektora za mlade“ u suradnji s EBRD-om</w:t>
            </w:r>
            <w:r w:rsidR="00DA78E2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D841570" w14:textId="77777777" w:rsidR="00B21BA8" w:rsidRPr="008D5D1B" w:rsidRDefault="00B21BA8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</w:tc>
        <w:tc>
          <w:tcPr>
            <w:tcW w:w="475" w:type="pct"/>
            <w:vAlign w:val="center"/>
          </w:tcPr>
          <w:p w14:paraId="6D841571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vMerge/>
            <w:vAlign w:val="center"/>
          </w:tcPr>
          <w:p w14:paraId="6D841572" w14:textId="77777777" w:rsidR="00B21BA8" w:rsidRPr="008D5D1B" w:rsidRDefault="00B21BA8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</w:p>
        </w:tc>
        <w:tc>
          <w:tcPr>
            <w:tcW w:w="825" w:type="pct"/>
            <w:vAlign w:val="center"/>
          </w:tcPr>
          <w:p w14:paraId="6D841573" w14:textId="77777777" w:rsidR="00B21BA8" w:rsidRPr="00DA78E2" w:rsidRDefault="00B21BA8" w:rsidP="00DA78E2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Broj polaznika i predavanja.</w:t>
            </w:r>
          </w:p>
        </w:tc>
      </w:tr>
      <w:tr w:rsidR="0099019C" w:rsidRPr="008D5D1B" w14:paraId="6D84157F" w14:textId="77777777" w:rsidTr="0099019C">
        <w:trPr>
          <w:jc w:val="center"/>
        </w:trPr>
        <w:tc>
          <w:tcPr>
            <w:tcW w:w="20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7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803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76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Provedba Programa međupredmetnih i interdisciplinarnih sadržaja Građanskog odgoja i obrazovanja za osnovne i srednje škole.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77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Provedba Programa u osnovnim i srednjim školama.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78" w14:textId="77777777" w:rsidR="0099019C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</w:t>
            </w:r>
          </w:p>
          <w:p w14:paraId="6D841579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EFZG</w:t>
            </w:r>
          </w:p>
          <w:p w14:paraId="6D84157A" w14:textId="77777777" w:rsidR="0099019C" w:rsidRPr="008D5D1B" w:rsidRDefault="0099019C" w:rsidP="002E6603">
            <w:pPr>
              <w:spacing w:after="0" w:line="336" w:lineRule="atLeast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7B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7C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AZOO– državni proračun</w:t>
            </w:r>
          </w:p>
          <w:p w14:paraId="6D84157D" w14:textId="77777777" w:rsidR="0099019C" w:rsidRPr="008D5D1B" w:rsidRDefault="0099019C" w:rsidP="002E6603">
            <w:pPr>
              <w:spacing w:after="0" w:line="336" w:lineRule="atLeast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ŠTEDOPIS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, EFZG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– vlastita sredstva</w:t>
            </w: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7E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Proveden Program međupredmetnih i interdisciplinarnih sadržaja Građanskog odgoja i obrazovanja za osnovne i srednje škole. Ocjena uspješnosti provedbe na temelju evaluacije učenika, odnosno nastavnika.</w:t>
            </w:r>
          </w:p>
        </w:tc>
      </w:tr>
      <w:tr w:rsidR="0099019C" w:rsidRPr="008D5D1B" w14:paraId="6D841587" w14:textId="77777777" w:rsidTr="0099019C">
        <w:trPr>
          <w:jc w:val="center"/>
        </w:trPr>
        <w:tc>
          <w:tcPr>
            <w:tcW w:w="20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80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803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81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Aktivnosti Koordinacije nebankarskih institucija na financijskom tržištu unutar HUP – udruge financijskog poslovanja.</w:t>
            </w:r>
          </w:p>
        </w:tc>
        <w:tc>
          <w:tcPr>
            <w:tcW w:w="91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82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Promocija aktivnosti članova Koordinacije prema javnosti kako bi se upoznali s radom i ponudom </w:t>
            </w:r>
            <w:r w:rsidR="00DA78E2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financijskih usluga na</w:t>
            </w: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tržištu (članovima HUP-a nefinancijskog sektora, prema nadležnim institucijama te široj javnosti).</w:t>
            </w:r>
          </w:p>
        </w:tc>
        <w:tc>
          <w:tcPr>
            <w:tcW w:w="1169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83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</w:t>
            </w:r>
          </w:p>
        </w:tc>
        <w:tc>
          <w:tcPr>
            <w:tcW w:w="47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84" w14:textId="77777777" w:rsidR="0099019C" w:rsidRPr="008D5D1B" w:rsidRDefault="0099019C" w:rsidP="002E66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04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85" w14:textId="77777777" w:rsidR="0099019C" w:rsidRPr="008D5D1B" w:rsidRDefault="0099019C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HUP – vlastita sredstva</w:t>
            </w:r>
          </w:p>
        </w:tc>
        <w:tc>
          <w:tcPr>
            <w:tcW w:w="825" w:type="pc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841586" w14:textId="77777777" w:rsidR="0099019C" w:rsidRPr="008D5D1B" w:rsidRDefault="0065725F" w:rsidP="002E6603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Javnost upoznata s r</w:t>
            </w:r>
            <w:r w:rsidR="0099019C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ad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om</w:t>
            </w:r>
            <w:r w:rsidR="0099019C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i djelovanje</w:t>
            </w:r>
            <w:r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>m</w:t>
            </w:r>
            <w:r w:rsidR="0099019C" w:rsidRPr="008D5D1B">
              <w:rPr>
                <w:rFonts w:ascii="Arial Narrow" w:eastAsia="Times New Roman" w:hAnsi="Arial Narrow" w:cs="Times New Roman"/>
                <w:color w:val="666666"/>
                <w:sz w:val="20"/>
                <w:szCs w:val="20"/>
                <w:lang w:eastAsia="hr-HR"/>
              </w:rPr>
              <w:t xml:space="preserve"> Koordinacije nebankarskih institucija na financijskom tržištu.</w:t>
            </w:r>
          </w:p>
        </w:tc>
      </w:tr>
    </w:tbl>
    <w:p w14:paraId="6D841588" w14:textId="77777777" w:rsidR="009A5226" w:rsidRDefault="009A5226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89" w14:textId="77777777" w:rsidR="009A5226" w:rsidRDefault="009A5226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8A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8B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8C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8D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8E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8F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0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1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2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3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4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5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6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7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8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9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A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B" w14:textId="77777777" w:rsidR="00413D5B" w:rsidRDefault="00413D5B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C" w14:textId="77777777" w:rsidR="009A5226" w:rsidRDefault="009A5226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D" w14:textId="77777777" w:rsidR="00BC4F73" w:rsidRDefault="00BC4F73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  <w:r>
        <w:rPr>
          <w:rFonts w:ascii="Arial Narrow" w:eastAsia="Times New Roman" w:hAnsi="Arial Narrow" w:cs="Times New Roman"/>
          <w:color w:val="666666"/>
          <w:lang w:eastAsia="hr-HR"/>
        </w:rPr>
        <w:t>POPIS KRATICA:</w:t>
      </w:r>
    </w:p>
    <w:p w14:paraId="6D84159E" w14:textId="77777777" w:rsidR="00BC4F73" w:rsidRPr="005F2F0F" w:rsidRDefault="00BC4F73" w:rsidP="00BC4F73">
      <w:pPr>
        <w:spacing w:after="0" w:line="240" w:lineRule="auto"/>
        <w:rPr>
          <w:rFonts w:ascii="Arial Narrow" w:eastAsia="Times New Roman" w:hAnsi="Arial Narrow" w:cs="Times New Roman"/>
          <w:color w:val="666666"/>
          <w:lang w:eastAsia="hr-HR"/>
        </w:rPr>
      </w:pPr>
    </w:p>
    <w:p w14:paraId="6D84159F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AZOO Agencija za odgoj i obrazovanje</w:t>
      </w:r>
    </w:p>
    <w:p w14:paraId="6D8415A0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EFZG Ekonomski fakultet Zagreb</w:t>
      </w:r>
    </w:p>
    <w:p w14:paraId="6D8415A1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FINA Financijska agencija</w:t>
      </w:r>
    </w:p>
    <w:p w14:paraId="6D8415A2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HANFA Hrvatska agencija za nadzor financijskih usluga</w:t>
      </w:r>
    </w:p>
    <w:p w14:paraId="6D8415A3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HGK Hrvatska gospodarska komora</w:t>
      </w:r>
    </w:p>
    <w:p w14:paraId="6D8415A4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HNB Hrvatska narodna banka</w:t>
      </w:r>
    </w:p>
    <w:p w14:paraId="6D8415A5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HUB Hrvatska udruga banaka</w:t>
      </w:r>
    </w:p>
    <w:p w14:paraId="6D8415A6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HUO Hrvatski ured za osiguranje</w:t>
      </w:r>
    </w:p>
    <w:p w14:paraId="6D8415A7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HUP Hrvatska udruga poslodavaca</w:t>
      </w:r>
    </w:p>
    <w:p w14:paraId="6D8415A8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MFIN Ministarstvo financija</w:t>
      </w:r>
    </w:p>
    <w:p w14:paraId="6D8415A9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MINGPO Ministarstvo gospodarstva, poduzetništva i obrta</w:t>
      </w:r>
    </w:p>
    <w:p w14:paraId="6D8415AA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MZO Ministarstvo znanosti i obrazovanja</w:t>
      </w:r>
    </w:p>
    <w:p w14:paraId="6D8415AB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OMF Obvezni mirovinski fondovi</w:t>
      </w:r>
    </w:p>
    <w:p w14:paraId="6D8415AC" w14:textId="77777777" w:rsidR="00BC4F73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DMF Dobrovoljni mirovinski fondovi</w:t>
      </w:r>
    </w:p>
    <w:p w14:paraId="6D8415AD" w14:textId="77777777" w:rsidR="00BF4B0E" w:rsidRPr="005F2F0F" w:rsidRDefault="00BF4B0E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>
        <w:rPr>
          <w:rFonts w:ascii="Arial Narrow" w:eastAsia="Times New Roman" w:hAnsi="Arial Narrow" w:cs="Times New Roman"/>
          <w:color w:val="666666"/>
          <w:lang w:eastAsia="hr-HR"/>
        </w:rPr>
        <w:t>SSSH Savez Samostalnih Sindikata Hrvatske</w:t>
      </w:r>
    </w:p>
    <w:p w14:paraId="6D8415AE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ŠTEDOPIS  Institut za financijsko obrazovanje</w:t>
      </w:r>
    </w:p>
    <w:p w14:paraId="6D8415AF" w14:textId="77777777" w:rsidR="00BC4F73" w:rsidRPr="005F2F0F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UMFO  Udruga društava za upravljanje mirovinskim fondovima i mirovinskih osiguravajućih društava</w:t>
      </w:r>
    </w:p>
    <w:p w14:paraId="6D8415B0" w14:textId="77777777" w:rsidR="00BC4F73" w:rsidRDefault="00BC4F73" w:rsidP="00BC4F73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 w:rsidRPr="005F2F0F">
        <w:rPr>
          <w:rFonts w:ascii="Arial Narrow" w:eastAsia="Times New Roman" w:hAnsi="Arial Narrow" w:cs="Times New Roman"/>
          <w:color w:val="666666"/>
          <w:lang w:eastAsia="hr-HR"/>
        </w:rPr>
        <w:t>ZSE Zagrebačka burza</w:t>
      </w:r>
    </w:p>
    <w:p w14:paraId="6D8415B1" w14:textId="77777777" w:rsidR="0098510C" w:rsidRPr="009A5226" w:rsidRDefault="008039A6" w:rsidP="009A5226">
      <w:pPr>
        <w:spacing w:after="0"/>
        <w:rPr>
          <w:rFonts w:ascii="Arial Narrow" w:eastAsia="Times New Roman" w:hAnsi="Arial Narrow" w:cs="Times New Roman"/>
          <w:color w:val="666666"/>
          <w:lang w:eastAsia="hr-HR"/>
        </w:rPr>
      </w:pPr>
      <w:r>
        <w:rPr>
          <w:rFonts w:ascii="Arial Narrow" w:eastAsia="Times New Roman" w:hAnsi="Arial Narrow" w:cs="Times New Roman"/>
          <w:color w:val="666666"/>
          <w:lang w:eastAsia="hr-HR"/>
        </w:rPr>
        <w:t>HIFE Hrvatski institut za financijsku edukaciju</w:t>
      </w:r>
    </w:p>
    <w:sectPr w:rsidR="0098510C" w:rsidRPr="009A5226" w:rsidSect="002E6603">
      <w:footerReference w:type="defaul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415B6" w14:textId="77777777" w:rsidR="0027549E" w:rsidRDefault="0027549E">
      <w:pPr>
        <w:spacing w:after="0" w:line="240" w:lineRule="auto"/>
      </w:pPr>
      <w:r>
        <w:separator/>
      </w:r>
    </w:p>
  </w:endnote>
  <w:endnote w:type="continuationSeparator" w:id="0">
    <w:p w14:paraId="6D8415B7" w14:textId="77777777" w:rsidR="0027549E" w:rsidRDefault="0027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517403"/>
      <w:docPartObj>
        <w:docPartGallery w:val="Page Numbers (Bottom of Page)"/>
        <w:docPartUnique/>
      </w:docPartObj>
    </w:sdtPr>
    <w:sdtEndPr/>
    <w:sdtContent>
      <w:p w14:paraId="6D8415B8" w14:textId="77777777" w:rsidR="00413D5B" w:rsidRDefault="00413D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BAB">
          <w:rPr>
            <w:noProof/>
          </w:rPr>
          <w:t>19</w:t>
        </w:r>
        <w:r>
          <w:fldChar w:fldCharType="end"/>
        </w:r>
      </w:p>
    </w:sdtContent>
  </w:sdt>
  <w:p w14:paraId="6D8415B9" w14:textId="77777777" w:rsidR="00413D5B" w:rsidRDefault="00413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415B4" w14:textId="77777777" w:rsidR="0027549E" w:rsidRDefault="0027549E">
      <w:pPr>
        <w:spacing w:after="0" w:line="240" w:lineRule="auto"/>
      </w:pPr>
      <w:r>
        <w:separator/>
      </w:r>
    </w:p>
  </w:footnote>
  <w:footnote w:type="continuationSeparator" w:id="0">
    <w:p w14:paraId="6D8415B5" w14:textId="77777777" w:rsidR="0027549E" w:rsidRDefault="00275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7A8F"/>
    <w:multiLevelType w:val="hybridMultilevel"/>
    <w:tmpl w:val="09B84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78"/>
    <w:multiLevelType w:val="hybridMultilevel"/>
    <w:tmpl w:val="5C08F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73"/>
    <w:rsid w:val="00047253"/>
    <w:rsid w:val="00064C62"/>
    <w:rsid w:val="0006555A"/>
    <w:rsid w:val="00074B35"/>
    <w:rsid w:val="00081A77"/>
    <w:rsid w:val="00094CB5"/>
    <w:rsid w:val="0009642D"/>
    <w:rsid w:val="000D0DF9"/>
    <w:rsid w:val="000D4BDD"/>
    <w:rsid w:val="000F3446"/>
    <w:rsid w:val="001227D9"/>
    <w:rsid w:val="00127685"/>
    <w:rsid w:val="00136F64"/>
    <w:rsid w:val="001B041D"/>
    <w:rsid w:val="001D5642"/>
    <w:rsid w:val="00263BFF"/>
    <w:rsid w:val="002717F1"/>
    <w:rsid w:val="0027549E"/>
    <w:rsid w:val="002A66EC"/>
    <w:rsid w:val="002E6603"/>
    <w:rsid w:val="002E77EF"/>
    <w:rsid w:val="00322474"/>
    <w:rsid w:val="00342C6B"/>
    <w:rsid w:val="00352239"/>
    <w:rsid w:val="00364CED"/>
    <w:rsid w:val="003B2259"/>
    <w:rsid w:val="003E436F"/>
    <w:rsid w:val="003E77C7"/>
    <w:rsid w:val="00413D5B"/>
    <w:rsid w:val="00416697"/>
    <w:rsid w:val="004211E5"/>
    <w:rsid w:val="004314E9"/>
    <w:rsid w:val="00471CC1"/>
    <w:rsid w:val="00492B82"/>
    <w:rsid w:val="004C4C46"/>
    <w:rsid w:val="004E0BDA"/>
    <w:rsid w:val="004F2BD7"/>
    <w:rsid w:val="004F4D82"/>
    <w:rsid w:val="00507133"/>
    <w:rsid w:val="00507A86"/>
    <w:rsid w:val="00532E3F"/>
    <w:rsid w:val="00566DDB"/>
    <w:rsid w:val="005F2EBD"/>
    <w:rsid w:val="00602D97"/>
    <w:rsid w:val="00610254"/>
    <w:rsid w:val="00615D1F"/>
    <w:rsid w:val="00615E99"/>
    <w:rsid w:val="006359E1"/>
    <w:rsid w:val="00651F8F"/>
    <w:rsid w:val="0065725F"/>
    <w:rsid w:val="006A714F"/>
    <w:rsid w:val="0074200B"/>
    <w:rsid w:val="00744011"/>
    <w:rsid w:val="007468E0"/>
    <w:rsid w:val="00747E86"/>
    <w:rsid w:val="0077462A"/>
    <w:rsid w:val="00790675"/>
    <w:rsid w:val="007A59A9"/>
    <w:rsid w:val="007B5BAB"/>
    <w:rsid w:val="007C0205"/>
    <w:rsid w:val="007E6C14"/>
    <w:rsid w:val="008039A6"/>
    <w:rsid w:val="00807A6D"/>
    <w:rsid w:val="008211B2"/>
    <w:rsid w:val="008A4BF3"/>
    <w:rsid w:val="0091450E"/>
    <w:rsid w:val="00916142"/>
    <w:rsid w:val="0093772A"/>
    <w:rsid w:val="0095692D"/>
    <w:rsid w:val="009609BD"/>
    <w:rsid w:val="00975629"/>
    <w:rsid w:val="0098510C"/>
    <w:rsid w:val="00986340"/>
    <w:rsid w:val="0099019C"/>
    <w:rsid w:val="00994213"/>
    <w:rsid w:val="009A5226"/>
    <w:rsid w:val="00A46D66"/>
    <w:rsid w:val="00A612D6"/>
    <w:rsid w:val="00A619FE"/>
    <w:rsid w:val="00A64FA7"/>
    <w:rsid w:val="00A851EC"/>
    <w:rsid w:val="00AA7620"/>
    <w:rsid w:val="00AB32A0"/>
    <w:rsid w:val="00B05A72"/>
    <w:rsid w:val="00B11449"/>
    <w:rsid w:val="00B21BA8"/>
    <w:rsid w:val="00B56101"/>
    <w:rsid w:val="00B63524"/>
    <w:rsid w:val="00B776DA"/>
    <w:rsid w:val="00B878C4"/>
    <w:rsid w:val="00BA2340"/>
    <w:rsid w:val="00BB4ED8"/>
    <w:rsid w:val="00BB6EA9"/>
    <w:rsid w:val="00BC4F73"/>
    <w:rsid w:val="00BD2B75"/>
    <w:rsid w:val="00BE5643"/>
    <w:rsid w:val="00BF4B0E"/>
    <w:rsid w:val="00BF625D"/>
    <w:rsid w:val="00C003A5"/>
    <w:rsid w:val="00C1777C"/>
    <w:rsid w:val="00C22226"/>
    <w:rsid w:val="00C24CD5"/>
    <w:rsid w:val="00C3412F"/>
    <w:rsid w:val="00C61889"/>
    <w:rsid w:val="00C63A01"/>
    <w:rsid w:val="00C650B7"/>
    <w:rsid w:val="00C755D7"/>
    <w:rsid w:val="00CD4F58"/>
    <w:rsid w:val="00CE71EF"/>
    <w:rsid w:val="00D04DFE"/>
    <w:rsid w:val="00D158FF"/>
    <w:rsid w:val="00D16C4D"/>
    <w:rsid w:val="00D64C0F"/>
    <w:rsid w:val="00D652EE"/>
    <w:rsid w:val="00DA78E2"/>
    <w:rsid w:val="00DC07DC"/>
    <w:rsid w:val="00DD18AE"/>
    <w:rsid w:val="00DE715B"/>
    <w:rsid w:val="00E12859"/>
    <w:rsid w:val="00E71DB7"/>
    <w:rsid w:val="00E827F9"/>
    <w:rsid w:val="00E90C3F"/>
    <w:rsid w:val="00E96906"/>
    <w:rsid w:val="00EB1F9B"/>
    <w:rsid w:val="00ED3C2F"/>
    <w:rsid w:val="00F13525"/>
    <w:rsid w:val="00F31537"/>
    <w:rsid w:val="00F31D43"/>
    <w:rsid w:val="00F43309"/>
    <w:rsid w:val="00F855A6"/>
    <w:rsid w:val="00F95B3B"/>
    <w:rsid w:val="00FF21DD"/>
    <w:rsid w:val="00FF2D05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0EFB"/>
  <w15:docId w15:val="{D299A006-C267-4E7E-84F2-19B9B84F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73"/>
  </w:style>
  <w:style w:type="paragraph" w:styleId="BalloonText">
    <w:name w:val="Balloon Text"/>
    <w:basedOn w:val="Normal"/>
    <w:link w:val="BalloonTextChar"/>
    <w:uiPriority w:val="99"/>
    <w:semiHidden/>
    <w:unhideWhenUsed/>
    <w:rsid w:val="002E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mvp.hr/mvprh-www/grafika/periodika/grb-hr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73E1-8BC5-4C4B-BA9A-3B819641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4651</Words>
  <Characters>26517</Characters>
  <Application>Microsoft Office Word</Application>
  <DocSecurity>4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mfklo</dc:creator>
  <cp:lastModifiedBy>Vlatka Šelimber</cp:lastModifiedBy>
  <cp:revision>2</cp:revision>
  <cp:lastPrinted>2019-03-04T15:07:00Z</cp:lastPrinted>
  <dcterms:created xsi:type="dcterms:W3CDTF">2019-03-15T08:00:00Z</dcterms:created>
  <dcterms:modified xsi:type="dcterms:W3CDTF">2019-03-15T08:00:00Z</dcterms:modified>
</cp:coreProperties>
</file>